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2BFA" w14:textId="592ECC60" w:rsidR="003A66E3" w:rsidRPr="00350815" w:rsidRDefault="00B35CFF" w:rsidP="003A66E3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</w:t>
      </w:r>
      <w:r w:rsidR="00C8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ile </w:t>
      </w:r>
      <w:r w:rsidR="00C8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2: </w:t>
      </w:r>
      <w:r w:rsidR="008357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Analytical protocol of monazite analysis</w:t>
      </w:r>
      <w:r w:rsidR="003E01A2" w:rsidRPr="00350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5287AC8" w14:textId="47060F06" w:rsidR="00FA57CD" w:rsidRPr="003A66E3" w:rsidRDefault="003A66E3" w:rsidP="003A66E3">
      <w:pPr>
        <w:spacing w:line="480" w:lineRule="auto"/>
        <w:jc w:val="both"/>
      </w:pPr>
      <w:r w:rsidRPr="003A66E3">
        <w:rPr>
          <w:rFonts w:ascii="Times New Roman" w:hAnsi="Times New Roman" w:cs="Times New Roman"/>
          <w:sz w:val="24"/>
          <w:szCs w:val="24"/>
        </w:rPr>
        <w:t>The crystal configurations, analytical conditions, and the standards for analysis are identical to the protocol-I of Prabhakar (2013). A</w:t>
      </w:r>
      <w:r w:rsidRPr="003A6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short</w:t>
      </w:r>
      <w:r w:rsidRPr="003A66E3">
        <w:rPr>
          <w:rFonts w:ascii="Times New Roman" w:hAnsi="Times New Roman" w:cs="Times New Roman"/>
          <w:sz w:val="24"/>
          <w:szCs w:val="24"/>
        </w:rPr>
        <w:t xml:space="preserve"> </w:t>
      </w:r>
      <w:r w:rsidRPr="003A66E3">
        <w:rPr>
          <w:rFonts w:ascii="Times New Roman" w:hAnsi="Times New Roman" w:cs="Times New Roman"/>
          <w:sz w:val="24"/>
          <w:szCs w:val="24"/>
          <w:shd w:val="clear" w:color="auto" w:fill="FFFFFF"/>
        </w:rPr>
        <w:t>summary is provided here. Synthetic standards</w:t>
      </w:r>
      <w:r w:rsidRPr="003A66E3">
        <w:rPr>
          <w:rFonts w:ascii="Times New Roman" w:hAnsi="Times New Roman" w:cs="Times New Roman"/>
          <w:sz w:val="24"/>
          <w:szCs w:val="24"/>
        </w:rPr>
        <w:t xml:space="preserve"> </w:t>
      </w:r>
      <w:r w:rsidRPr="003A66E3">
        <w:rPr>
          <w:rFonts w:ascii="Times New Roman" w:hAnsi="Times New Roman" w:cs="Times New Roman"/>
          <w:sz w:val="24"/>
          <w:szCs w:val="24"/>
          <w:shd w:val="clear" w:color="auto" w:fill="FFFFFF"/>
        </w:rPr>
        <w:t>were used to analyze REEs (LaLα, CeLα, Prβ, NdLβ, SmLα, GdLβ, DyLα,</w:t>
      </w:r>
      <w:r w:rsidRPr="003A66E3">
        <w:rPr>
          <w:rFonts w:ascii="Times New Roman" w:hAnsi="Times New Roman" w:cs="Times New Roman"/>
          <w:sz w:val="24"/>
          <w:szCs w:val="24"/>
        </w:rPr>
        <w:t xml:space="preserve"> </w:t>
      </w:r>
      <w:r w:rsidRPr="003A66E3">
        <w:rPr>
          <w:rFonts w:ascii="Times New Roman" w:hAnsi="Times New Roman" w:cs="Times New Roman"/>
          <w:sz w:val="24"/>
          <w:szCs w:val="24"/>
          <w:shd w:val="clear" w:color="auto" w:fill="FFFFFF"/>
        </w:rPr>
        <w:t>HoLβ), YLα, ThMα, UMβ, PbMα, and SiKα; natural mineral standards</w:t>
      </w:r>
      <w:r w:rsidRPr="003A66E3">
        <w:rPr>
          <w:rFonts w:ascii="Times New Roman" w:hAnsi="Times New Roman" w:cs="Times New Roman"/>
          <w:sz w:val="24"/>
          <w:szCs w:val="24"/>
        </w:rPr>
        <w:t xml:space="preserve"> </w:t>
      </w:r>
      <w:r w:rsidRPr="003A66E3">
        <w:rPr>
          <w:rFonts w:ascii="Times New Roman" w:hAnsi="Times New Roman" w:cs="Times New Roman"/>
          <w:sz w:val="24"/>
          <w:szCs w:val="24"/>
          <w:shd w:val="clear" w:color="auto" w:fill="FFFFFF"/>
        </w:rPr>
        <w:t>were used to calibrate AlKα, FeKα, PKα and CaKα. The peak-times</w:t>
      </w:r>
      <w:r w:rsidRPr="003A66E3">
        <w:rPr>
          <w:rFonts w:ascii="Times New Roman" w:hAnsi="Times New Roman" w:cs="Times New Roman"/>
          <w:sz w:val="24"/>
          <w:szCs w:val="24"/>
        </w:rPr>
        <w:t xml:space="preserve"> </w:t>
      </w:r>
      <w:r w:rsidRPr="003A66E3">
        <w:rPr>
          <w:rFonts w:ascii="Times New Roman" w:hAnsi="Times New Roman" w:cs="Times New Roman"/>
          <w:sz w:val="24"/>
          <w:szCs w:val="24"/>
          <w:shd w:val="clear" w:color="auto" w:fill="FFFFFF"/>
        </w:rPr>
        <w:t>for measurements were 10 s (Al, Si, Ca and Fe), 20 s (P) and 30 s (Y</w:t>
      </w:r>
      <w:r w:rsidRPr="003A66E3">
        <w:rPr>
          <w:rFonts w:ascii="Times New Roman" w:hAnsi="Times New Roman" w:cs="Times New Roman"/>
          <w:sz w:val="24"/>
          <w:szCs w:val="24"/>
        </w:rPr>
        <w:t xml:space="preserve"> </w:t>
      </w:r>
      <w:r w:rsidRPr="003A66E3">
        <w:rPr>
          <w:rFonts w:ascii="Times New Roman" w:hAnsi="Times New Roman" w:cs="Times New Roman"/>
          <w:sz w:val="24"/>
          <w:szCs w:val="24"/>
          <w:shd w:val="clear" w:color="auto" w:fill="FFFFFF"/>
        </w:rPr>
        <w:t>and REEs; La and Ce were analyzed for 40 s). Longer measurements</w:t>
      </w:r>
      <w:r w:rsidRPr="003A66E3">
        <w:rPr>
          <w:rFonts w:ascii="Times New Roman" w:hAnsi="Times New Roman" w:cs="Times New Roman"/>
          <w:sz w:val="24"/>
          <w:szCs w:val="24"/>
        </w:rPr>
        <w:t xml:space="preserve"> </w:t>
      </w:r>
      <w:r w:rsidRPr="003A66E3">
        <w:rPr>
          <w:rFonts w:ascii="Times New Roman" w:hAnsi="Times New Roman" w:cs="Times New Roman"/>
          <w:sz w:val="24"/>
          <w:szCs w:val="24"/>
          <w:shd w:val="clear" w:color="auto" w:fill="FFFFFF"/>
        </w:rPr>
        <w:t>were applied to PbMα (300 s), ThMα (200 s) and UMβ (200 s) spectral</w:t>
      </w:r>
      <w:r w:rsidRPr="003A66E3">
        <w:rPr>
          <w:rFonts w:ascii="Times New Roman" w:hAnsi="Times New Roman" w:cs="Times New Roman"/>
          <w:sz w:val="24"/>
          <w:szCs w:val="24"/>
        </w:rPr>
        <w:t xml:space="preserve"> </w:t>
      </w:r>
      <w:r w:rsidRPr="003A66E3">
        <w:rPr>
          <w:rFonts w:ascii="Times New Roman" w:hAnsi="Times New Roman" w:cs="Times New Roman"/>
          <w:sz w:val="24"/>
          <w:szCs w:val="24"/>
          <w:shd w:val="clear" w:color="auto" w:fill="FFFFFF"/>
        </w:rPr>
        <w:t>analyses. Background measurements were made in half the peak-time.</w:t>
      </w:r>
    </w:p>
    <w:sectPr w:rsidR="00FA57CD" w:rsidRPr="003A6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22C4" w14:textId="77777777" w:rsidR="006241BC" w:rsidRDefault="006241BC" w:rsidP="006241BC">
      <w:pPr>
        <w:spacing w:after="0" w:line="240" w:lineRule="auto"/>
      </w:pPr>
      <w:r>
        <w:separator/>
      </w:r>
    </w:p>
  </w:endnote>
  <w:endnote w:type="continuationSeparator" w:id="0">
    <w:p w14:paraId="422FAF26" w14:textId="77777777" w:rsidR="006241BC" w:rsidRDefault="006241BC" w:rsidP="0062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163E" w14:textId="77777777" w:rsidR="006241BC" w:rsidRDefault="00624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F563" w14:textId="77777777" w:rsidR="006241BC" w:rsidRDefault="006241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AA0B" w14:textId="77777777" w:rsidR="006241BC" w:rsidRDefault="00624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D3A9" w14:textId="77777777" w:rsidR="006241BC" w:rsidRDefault="006241BC" w:rsidP="006241BC">
      <w:pPr>
        <w:spacing w:after="0" w:line="240" w:lineRule="auto"/>
      </w:pPr>
      <w:r>
        <w:separator/>
      </w:r>
    </w:p>
  </w:footnote>
  <w:footnote w:type="continuationSeparator" w:id="0">
    <w:p w14:paraId="6A0ABD1F" w14:textId="77777777" w:rsidR="006241BC" w:rsidRDefault="006241BC" w:rsidP="0062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C069" w14:textId="77777777" w:rsidR="006241BC" w:rsidRDefault="00624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0D03" w14:textId="1FDFD5D5" w:rsidR="006241BC" w:rsidRPr="000D6B09" w:rsidRDefault="006241BC" w:rsidP="006241BC">
    <w:r w:rsidRPr="000D6B09">
      <w:t>CITATION:</w:t>
    </w:r>
    <w:r w:rsidRPr="000D6B09">
      <w:t> </w:t>
    </w:r>
    <w:r w:rsidRPr="000D6B09">
      <w:t>Chatterjee, S.M., Roy, A., Manna, A., and Sarkar, A.K., 2023, Early Neoproterozoic tectonics in the Marwar Crustal Block (NW India), the relevance of the Phulad Shear Zone, and implications for Rodinia reconstruction: Geosphere, v. 19, https://doi.org/10.1130/GES02565.1.</w:t>
    </w:r>
  </w:p>
  <w:p w14:paraId="7E9E67F0" w14:textId="77777777" w:rsidR="006241BC" w:rsidRDefault="00624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814D" w14:textId="77777777" w:rsidR="006241BC" w:rsidRDefault="00624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CD"/>
    <w:rsid w:val="002C4179"/>
    <w:rsid w:val="00350815"/>
    <w:rsid w:val="003A66E3"/>
    <w:rsid w:val="003E01A2"/>
    <w:rsid w:val="006241BC"/>
    <w:rsid w:val="00835783"/>
    <w:rsid w:val="00B35CFF"/>
    <w:rsid w:val="00C86EB3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34D2"/>
  <w15:chartTrackingRefBased/>
  <w15:docId w15:val="{1AB2D003-0DDD-47F5-9823-1C8D9FA6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1BC"/>
  </w:style>
  <w:style w:type="paragraph" w:styleId="Footer">
    <w:name w:val="footer"/>
    <w:basedOn w:val="Normal"/>
    <w:link w:val="FooterChar"/>
    <w:uiPriority w:val="99"/>
    <w:unhideWhenUsed/>
    <w:rsid w:val="00624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Gina Harlow</cp:lastModifiedBy>
  <cp:revision>7</cp:revision>
  <dcterms:created xsi:type="dcterms:W3CDTF">2023-03-17T10:57:00Z</dcterms:created>
  <dcterms:modified xsi:type="dcterms:W3CDTF">2023-05-20T00:04:00Z</dcterms:modified>
</cp:coreProperties>
</file>