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7FBA2" w14:textId="74E581BC" w:rsidR="00ED014F" w:rsidRPr="00835ACD" w:rsidRDefault="00835ACD" w:rsidP="001113E1">
      <w:pPr>
        <w:pStyle w:val="Heading1"/>
        <w:spacing w:after="0" w:line="480" w:lineRule="auto"/>
        <w:rPr>
          <w:rFonts w:cs="Times New Roman"/>
          <w:color w:val="000000" w:themeColor="text1"/>
          <w:sz w:val="24"/>
          <w:szCs w:val="24"/>
          <w:lang w:val="en-US"/>
        </w:rPr>
      </w:pPr>
      <w:r w:rsidRPr="00835ACD">
        <w:rPr>
          <w:rFonts w:cs="Times New Roman"/>
          <w:color w:val="000000" w:themeColor="text1"/>
          <w:sz w:val="24"/>
          <w:szCs w:val="24"/>
          <w:lang w:val="en-US"/>
        </w:rPr>
        <w:t>1 DATASET</w:t>
      </w:r>
    </w:p>
    <w:p w14:paraId="31D577A2" w14:textId="5CB21462" w:rsidR="006E767F" w:rsidRDefault="006E767F" w:rsidP="001113E1">
      <w:pPr>
        <w:spacing w:after="120" w:line="480" w:lineRule="auto"/>
        <w:ind w:firstLine="708"/>
        <w:rPr>
          <w:color w:val="000000" w:themeColor="text1"/>
          <w:lang w:val="en-US"/>
        </w:rPr>
      </w:pPr>
      <w:r w:rsidRPr="00835ACD">
        <w:rPr>
          <w:lang w:val="en-US"/>
        </w:rPr>
        <w:t xml:space="preserve">Location of </w:t>
      </w:r>
      <w:r w:rsidR="00335B6F">
        <w:rPr>
          <w:lang w:val="en-US"/>
        </w:rPr>
        <w:t xml:space="preserve">the </w:t>
      </w:r>
      <w:r w:rsidRPr="00835ACD">
        <w:rPr>
          <w:color w:val="000000" w:themeColor="text1"/>
          <w:lang w:val="en-US"/>
        </w:rPr>
        <w:t xml:space="preserve">complete studied subsurface database is shown in Fig. S1. Interpreted </w:t>
      </w:r>
      <w:r w:rsidR="00A712D0" w:rsidRPr="00835ACD">
        <w:rPr>
          <w:color w:val="000000" w:themeColor="text1"/>
          <w:lang w:val="en-US"/>
        </w:rPr>
        <w:t>s</w:t>
      </w:r>
      <w:r w:rsidRPr="00835ACD">
        <w:rPr>
          <w:color w:val="000000" w:themeColor="text1"/>
          <w:lang w:val="en-US"/>
        </w:rPr>
        <w:t>tratigraphic horizons are shown in Fig. S2. Additional section</w:t>
      </w:r>
      <w:r w:rsidR="00835ACD">
        <w:rPr>
          <w:color w:val="000000" w:themeColor="text1"/>
          <w:lang w:val="en-US"/>
        </w:rPr>
        <w:t>s</w:t>
      </w:r>
      <w:r w:rsidRPr="00835ACD">
        <w:rPr>
          <w:color w:val="000000" w:themeColor="text1"/>
          <w:lang w:val="en-US"/>
        </w:rPr>
        <w:t xml:space="preserve"> are shown in Figures S3 and S4.</w:t>
      </w:r>
    </w:p>
    <w:p w14:paraId="15868B26" w14:textId="77777777" w:rsidR="00021B33" w:rsidRPr="00835ACD" w:rsidRDefault="00021B33" w:rsidP="001113E1">
      <w:pPr>
        <w:spacing w:after="120" w:line="480" w:lineRule="auto"/>
        <w:ind w:firstLine="708"/>
        <w:rPr>
          <w:color w:val="000000" w:themeColor="text1"/>
          <w:lang w:val="en-US"/>
        </w:rPr>
      </w:pPr>
    </w:p>
    <w:p w14:paraId="38CB6380" w14:textId="68AEC658" w:rsidR="00ED014F" w:rsidRPr="00835ACD" w:rsidRDefault="00835ACD" w:rsidP="00021B33">
      <w:pPr>
        <w:pStyle w:val="Heading1"/>
        <w:spacing w:after="0" w:line="480" w:lineRule="auto"/>
        <w:rPr>
          <w:rFonts w:cs="Times New Roman"/>
          <w:color w:val="000000" w:themeColor="text1"/>
          <w:sz w:val="24"/>
          <w:szCs w:val="24"/>
          <w:lang w:val="en-US"/>
        </w:rPr>
      </w:pPr>
      <w:r w:rsidRPr="00835ACD">
        <w:rPr>
          <w:rFonts w:cs="Times New Roman"/>
          <w:color w:val="000000" w:themeColor="text1"/>
          <w:sz w:val="24"/>
          <w:szCs w:val="24"/>
          <w:lang w:val="en-US"/>
        </w:rPr>
        <w:t>2. ESTIMATION OF ACCUMULATION HISTORIES AND ASSOCIATED UNCERTAINTIES</w:t>
      </w:r>
    </w:p>
    <w:p w14:paraId="07BAF868" w14:textId="6E436B9E" w:rsidR="000426C2" w:rsidRDefault="00ED014F" w:rsidP="001113E1">
      <w:pPr>
        <w:spacing w:after="120" w:line="480" w:lineRule="auto"/>
        <w:ind w:firstLine="360"/>
        <w:jc w:val="both"/>
        <w:rPr>
          <w:color w:val="000000" w:themeColor="text1"/>
          <w:lang w:val="en-US"/>
        </w:rPr>
      </w:pPr>
      <w:r w:rsidRPr="00835ACD">
        <w:rPr>
          <w:color w:val="000000" w:themeColor="text1"/>
          <w:lang w:val="en-US"/>
        </w:rPr>
        <w:t>We estimated o</w:t>
      </w:r>
      <w:r w:rsidR="000426C2" w:rsidRPr="00835ACD">
        <w:rPr>
          <w:color w:val="000000" w:themeColor="text1"/>
          <w:lang w:val="en-US"/>
        </w:rPr>
        <w:t xml:space="preserve">ffshore accumulation </w:t>
      </w:r>
      <w:r w:rsidRPr="00835ACD">
        <w:rPr>
          <w:color w:val="000000" w:themeColor="text1"/>
          <w:lang w:val="en-US"/>
        </w:rPr>
        <w:t xml:space="preserve">volumes and </w:t>
      </w:r>
      <w:r w:rsidR="000426C2" w:rsidRPr="00835ACD">
        <w:rPr>
          <w:color w:val="000000" w:themeColor="text1"/>
          <w:lang w:val="en-US"/>
        </w:rPr>
        <w:t xml:space="preserve">rates were estimating </w:t>
      </w:r>
      <w:r w:rsidRPr="00835ACD">
        <w:rPr>
          <w:color w:val="000000" w:themeColor="text1"/>
          <w:lang w:val="en-US"/>
        </w:rPr>
        <w:t>from the isopach maps shown in Figure 6 using</w:t>
      </w:r>
      <w:r w:rsidR="000426C2" w:rsidRPr="00835ACD">
        <w:rPr>
          <w:color w:val="000000" w:themeColor="text1"/>
          <w:lang w:val="en-US"/>
        </w:rPr>
        <w:t xml:space="preserve"> the method</w:t>
      </w:r>
      <w:r w:rsidRPr="00835ACD">
        <w:rPr>
          <w:color w:val="000000" w:themeColor="text1"/>
          <w:lang w:val="en-US"/>
        </w:rPr>
        <w:t>s</w:t>
      </w:r>
      <w:r w:rsidR="000426C2" w:rsidRPr="00835ACD">
        <w:rPr>
          <w:color w:val="000000" w:themeColor="text1"/>
          <w:lang w:val="en-US"/>
        </w:rPr>
        <w:t xml:space="preserve"> of</w:t>
      </w:r>
      <w:r w:rsidR="00CD0279" w:rsidRPr="00835ACD">
        <w:rPr>
          <w:color w:val="000000" w:themeColor="text1"/>
          <w:lang w:val="en-US"/>
        </w:rPr>
        <w:t xml:space="preserve"> Rouby et al. (2009) and Guillocheau et al. (201</w:t>
      </w:r>
      <w:r w:rsidR="006637AD">
        <w:rPr>
          <w:color w:val="000000" w:themeColor="text1"/>
          <w:lang w:val="en-US"/>
        </w:rPr>
        <w:t>1</w:t>
      </w:r>
      <w:r w:rsidR="00CD0279" w:rsidRPr="00835ACD">
        <w:rPr>
          <w:color w:val="000000" w:themeColor="text1"/>
          <w:lang w:val="en-US"/>
        </w:rPr>
        <w:t>)</w:t>
      </w:r>
      <w:r w:rsidR="0064052A" w:rsidRPr="00835ACD">
        <w:rPr>
          <w:color w:val="000000" w:themeColor="text1"/>
          <w:lang w:val="en-US"/>
        </w:rPr>
        <w:t xml:space="preserve"> following the steps below.</w:t>
      </w:r>
    </w:p>
    <w:p w14:paraId="64C39450" w14:textId="77777777" w:rsidR="00021B33" w:rsidRPr="00835ACD" w:rsidRDefault="00021B33" w:rsidP="001113E1">
      <w:pPr>
        <w:spacing w:after="120" w:line="480" w:lineRule="auto"/>
        <w:ind w:firstLine="360"/>
        <w:jc w:val="both"/>
        <w:rPr>
          <w:color w:val="000000" w:themeColor="text1"/>
          <w:lang w:val="en-US"/>
        </w:rPr>
      </w:pPr>
    </w:p>
    <w:p w14:paraId="296B1F0A" w14:textId="411D130A" w:rsidR="000426C2" w:rsidRPr="00835ACD" w:rsidRDefault="00F31CA3" w:rsidP="001113E1">
      <w:pPr>
        <w:pStyle w:val="Heading2"/>
        <w:spacing w:after="0" w:line="480" w:lineRule="auto"/>
        <w:rPr>
          <w:rFonts w:cs="Times New Roman"/>
          <w:color w:val="000000" w:themeColor="text1"/>
          <w:szCs w:val="24"/>
          <w:lang w:val="en-US"/>
        </w:rPr>
      </w:pPr>
      <w:r w:rsidRPr="00835ACD">
        <w:rPr>
          <w:rFonts w:cs="Times New Roman"/>
          <w:color w:val="000000" w:themeColor="text1"/>
          <w:szCs w:val="24"/>
          <w:lang w:val="en-US"/>
        </w:rPr>
        <w:t>2</w:t>
      </w:r>
      <w:r w:rsidR="000426C2" w:rsidRPr="00835ACD">
        <w:rPr>
          <w:rFonts w:cs="Times New Roman"/>
          <w:color w:val="000000" w:themeColor="text1"/>
          <w:szCs w:val="24"/>
          <w:lang w:val="en-US"/>
        </w:rPr>
        <w:t xml:space="preserve">.1 </w:t>
      </w:r>
      <w:r w:rsidR="006D4A11" w:rsidRPr="00835ACD">
        <w:rPr>
          <w:rFonts w:cs="Times New Roman"/>
          <w:color w:val="000000" w:themeColor="text1"/>
          <w:szCs w:val="24"/>
          <w:lang w:val="en-US"/>
        </w:rPr>
        <w:t>Stratigraphic h</w:t>
      </w:r>
      <w:r w:rsidR="000426C2" w:rsidRPr="00835ACD">
        <w:rPr>
          <w:rFonts w:cs="Times New Roman"/>
          <w:color w:val="000000" w:themeColor="text1"/>
          <w:szCs w:val="24"/>
          <w:lang w:val="en-US"/>
        </w:rPr>
        <w:t>orizon</w:t>
      </w:r>
      <w:r w:rsidR="008549D5" w:rsidRPr="00835ACD">
        <w:rPr>
          <w:rFonts w:cs="Times New Roman"/>
          <w:color w:val="000000" w:themeColor="text1"/>
          <w:szCs w:val="24"/>
          <w:lang w:val="en-US"/>
        </w:rPr>
        <w:t>s</w:t>
      </w:r>
      <w:r w:rsidR="000426C2" w:rsidRPr="00835ACD">
        <w:rPr>
          <w:rFonts w:cs="Times New Roman"/>
          <w:color w:val="000000" w:themeColor="text1"/>
          <w:szCs w:val="24"/>
          <w:lang w:val="en-US"/>
        </w:rPr>
        <w:t xml:space="preserve"> </w:t>
      </w:r>
      <w:r w:rsidR="008549D5" w:rsidRPr="00835ACD">
        <w:rPr>
          <w:rFonts w:cs="Times New Roman"/>
          <w:color w:val="000000" w:themeColor="text1"/>
          <w:szCs w:val="24"/>
          <w:lang w:val="en-US"/>
        </w:rPr>
        <w:t>and iso</w:t>
      </w:r>
      <w:r w:rsidR="00A8167E" w:rsidRPr="00835ACD">
        <w:rPr>
          <w:rFonts w:cs="Times New Roman"/>
          <w:color w:val="000000" w:themeColor="text1"/>
          <w:szCs w:val="24"/>
          <w:lang w:val="en-US"/>
        </w:rPr>
        <w:t>chore</w:t>
      </w:r>
      <w:r w:rsidR="008549D5" w:rsidRPr="00835ACD">
        <w:rPr>
          <w:rFonts w:cs="Times New Roman"/>
          <w:color w:val="000000" w:themeColor="text1"/>
          <w:szCs w:val="24"/>
          <w:lang w:val="en-US"/>
        </w:rPr>
        <w:t xml:space="preserve"> maps</w:t>
      </w:r>
    </w:p>
    <w:p w14:paraId="1B401448" w14:textId="62A4D0F9" w:rsidR="009E7A6F" w:rsidRPr="00835ACD" w:rsidRDefault="00961FC2" w:rsidP="001113E1">
      <w:pPr>
        <w:pStyle w:val="Papertext"/>
        <w:spacing w:after="120"/>
        <w:ind w:firstLine="709"/>
        <w:rPr>
          <w:rFonts w:cs="Times New Roman"/>
          <w:color w:val="000000" w:themeColor="text1"/>
          <w:lang w:val="en-US"/>
        </w:rPr>
      </w:pPr>
      <w:r w:rsidRPr="00835ACD">
        <w:rPr>
          <w:rFonts w:cs="Times New Roman"/>
          <w:color w:val="000000" w:themeColor="text1"/>
          <w:lang w:val="en-US"/>
        </w:rPr>
        <w:t>From the subsurface dataset (Fig. S</w:t>
      </w:r>
      <w:r w:rsidR="006D4A11" w:rsidRPr="00835ACD">
        <w:rPr>
          <w:rFonts w:cs="Times New Roman"/>
          <w:color w:val="000000" w:themeColor="text1"/>
          <w:lang w:val="en-US"/>
        </w:rPr>
        <w:t>1</w:t>
      </w:r>
      <w:r w:rsidRPr="00835ACD">
        <w:rPr>
          <w:rFonts w:cs="Times New Roman"/>
          <w:color w:val="000000" w:themeColor="text1"/>
          <w:lang w:val="en-US"/>
        </w:rPr>
        <w:t>), w</w:t>
      </w:r>
      <w:r w:rsidR="00502AB3" w:rsidRPr="00835ACD">
        <w:rPr>
          <w:rFonts w:cs="Times New Roman"/>
          <w:color w:val="000000" w:themeColor="text1"/>
          <w:lang w:val="en-US"/>
        </w:rPr>
        <w:t xml:space="preserve">e interpreted 9 stratigraphic horizons across the studied area </w:t>
      </w:r>
      <w:r w:rsidRPr="00835ACD">
        <w:rPr>
          <w:rFonts w:cs="Times New Roman"/>
          <w:color w:val="000000" w:themeColor="text1"/>
          <w:lang w:val="en-US"/>
        </w:rPr>
        <w:t xml:space="preserve">(Fig. 4) </w:t>
      </w:r>
      <w:r w:rsidR="00502AB3" w:rsidRPr="00835ACD">
        <w:rPr>
          <w:rFonts w:cs="Times New Roman"/>
          <w:color w:val="000000" w:themeColor="text1"/>
          <w:lang w:val="en-US"/>
        </w:rPr>
        <w:t xml:space="preserve">using </w:t>
      </w:r>
      <w:r w:rsidR="00E304A3">
        <w:rPr>
          <w:rFonts w:cs="Times New Roman"/>
          <w:color w:val="000000" w:themeColor="text1"/>
          <w:lang w:val="en-US"/>
        </w:rPr>
        <w:t xml:space="preserve">the method of </w:t>
      </w:r>
      <w:r w:rsidR="00502AB3" w:rsidRPr="00835ACD">
        <w:rPr>
          <w:rFonts w:cs="Times New Roman"/>
          <w:color w:val="000000" w:themeColor="text1"/>
          <w:lang w:val="en-US"/>
        </w:rPr>
        <w:t>seismic stratigraphy (</w:t>
      </w:r>
      <w:r w:rsidR="00396073" w:rsidRPr="00835ACD">
        <w:rPr>
          <w:rFonts w:cs="Times New Roman"/>
          <w:color w:val="000000" w:themeColor="text1"/>
          <w:lang w:val="en-US"/>
        </w:rPr>
        <w:t>Van Wagoner et al., 1988; Homewood et al., 1992)</w:t>
      </w:r>
      <w:r w:rsidR="002528E9" w:rsidRPr="00835ACD">
        <w:rPr>
          <w:rFonts w:cs="Times New Roman"/>
          <w:color w:val="000000" w:themeColor="text1"/>
          <w:lang w:val="en-US"/>
        </w:rPr>
        <w:t xml:space="preserve"> </w:t>
      </w:r>
      <w:r w:rsidR="00653BE3" w:rsidRPr="00835ACD">
        <w:rPr>
          <w:rFonts w:cs="Times New Roman"/>
          <w:color w:val="000000" w:themeColor="text1"/>
          <w:lang w:val="en-US"/>
        </w:rPr>
        <w:t xml:space="preserve">and </w:t>
      </w:r>
      <w:r w:rsidRPr="00835ACD">
        <w:rPr>
          <w:rFonts w:cs="Times New Roman"/>
          <w:color w:val="000000" w:themeColor="text1"/>
          <w:lang w:val="en-US"/>
        </w:rPr>
        <w:t>3</w:t>
      </w:r>
      <w:r w:rsidR="00EE1350" w:rsidRPr="00835ACD">
        <w:rPr>
          <w:rFonts w:cs="Times New Roman"/>
          <w:color w:val="000000" w:themeColor="text1"/>
          <w:lang w:val="en-US"/>
        </w:rPr>
        <w:t>3</w:t>
      </w:r>
      <w:r w:rsidRPr="00835ACD">
        <w:rPr>
          <w:rFonts w:cs="Times New Roman"/>
          <w:color w:val="000000" w:themeColor="text1"/>
          <w:lang w:val="en-US"/>
        </w:rPr>
        <w:t xml:space="preserve"> wells located in the shelf and bathya</w:t>
      </w:r>
      <w:r w:rsidR="006D4A11" w:rsidRPr="00835ACD">
        <w:rPr>
          <w:rFonts w:cs="Times New Roman"/>
          <w:color w:val="000000" w:themeColor="text1"/>
          <w:lang w:val="en-US"/>
        </w:rPr>
        <w:t>l</w:t>
      </w:r>
      <w:r w:rsidRPr="00835ACD">
        <w:rPr>
          <w:rFonts w:cs="Times New Roman"/>
          <w:color w:val="000000" w:themeColor="text1"/>
          <w:lang w:val="en-US"/>
        </w:rPr>
        <w:t xml:space="preserve"> domains</w:t>
      </w:r>
      <w:r w:rsidR="006D4A11" w:rsidRPr="00835ACD">
        <w:rPr>
          <w:rFonts w:cs="Times New Roman"/>
          <w:color w:val="000000" w:themeColor="text1"/>
          <w:lang w:val="en-US"/>
        </w:rPr>
        <w:t xml:space="preserve"> </w:t>
      </w:r>
      <w:r w:rsidR="004C54B4" w:rsidRPr="00835ACD">
        <w:rPr>
          <w:rFonts w:cs="Times New Roman"/>
          <w:color w:val="000000" w:themeColor="text1"/>
          <w:lang w:val="en-US"/>
        </w:rPr>
        <w:t xml:space="preserve">for lithological and biostratigraphic calibration </w:t>
      </w:r>
      <w:r w:rsidR="006D4A11" w:rsidRPr="00835ACD">
        <w:rPr>
          <w:rFonts w:cs="Times New Roman"/>
          <w:color w:val="000000" w:themeColor="text1"/>
          <w:lang w:val="en-US"/>
        </w:rPr>
        <w:t>(Fig. S1)</w:t>
      </w:r>
      <w:r w:rsidRPr="00835ACD">
        <w:rPr>
          <w:rFonts w:cs="Times New Roman"/>
          <w:color w:val="000000" w:themeColor="text1"/>
          <w:lang w:val="en-US"/>
        </w:rPr>
        <w:t>.</w:t>
      </w:r>
      <w:r w:rsidR="00041806" w:rsidRPr="00835ACD">
        <w:rPr>
          <w:rFonts w:cs="Times New Roman"/>
          <w:color w:val="000000" w:themeColor="text1"/>
          <w:lang w:val="en-US"/>
        </w:rPr>
        <w:t xml:space="preserve"> </w:t>
      </w:r>
    </w:p>
    <w:p w14:paraId="0FA85184" w14:textId="0AC44D0D" w:rsidR="009E7A6F" w:rsidRPr="00835ACD" w:rsidRDefault="00E304A3" w:rsidP="001113E1">
      <w:pPr>
        <w:autoSpaceDE w:val="0"/>
        <w:autoSpaceDN w:val="0"/>
        <w:adjustRightInd w:val="0"/>
        <w:spacing w:after="120" w:line="480" w:lineRule="auto"/>
        <w:ind w:firstLine="708"/>
        <w:jc w:val="both"/>
        <w:rPr>
          <w:color w:val="000000" w:themeColor="text1"/>
          <w:lang w:val="en-US"/>
        </w:rPr>
      </w:pPr>
      <w:r>
        <w:rPr>
          <w:color w:val="000000" w:themeColor="text1"/>
          <w:lang w:val="en-US"/>
        </w:rPr>
        <w:t>To do this, w</w:t>
      </w:r>
      <w:r w:rsidR="006E709C" w:rsidRPr="00835ACD">
        <w:rPr>
          <w:color w:val="000000" w:themeColor="text1"/>
          <w:lang w:val="en-US"/>
        </w:rPr>
        <w:t>e deduced the migration of the depositional profile t</w:t>
      </w:r>
      <w:r>
        <w:rPr>
          <w:color w:val="000000" w:themeColor="text1"/>
          <w:lang w:val="en-US"/>
        </w:rPr>
        <w:t>h</w:t>
      </w:r>
      <w:r w:rsidR="006E709C" w:rsidRPr="00835ACD">
        <w:rPr>
          <w:color w:val="000000" w:themeColor="text1"/>
          <w:lang w:val="en-US"/>
        </w:rPr>
        <w:t>rough time from the stratigraphic architecture (Homewood et al., 1992; 1999)</w:t>
      </w:r>
      <w:r w:rsidR="00094FC7" w:rsidRPr="00835ACD">
        <w:rPr>
          <w:color w:val="000000" w:themeColor="text1"/>
          <w:lang w:val="en-US"/>
        </w:rPr>
        <w:t>, in particular</w:t>
      </w:r>
      <w:r w:rsidR="00AC713A" w:rsidRPr="00835ACD">
        <w:rPr>
          <w:color w:val="000000" w:themeColor="text1"/>
          <w:lang w:val="en-US"/>
        </w:rPr>
        <w:t xml:space="preserve"> the </w:t>
      </w:r>
      <w:r w:rsidR="00094FC7" w:rsidRPr="00835ACD">
        <w:rPr>
          <w:color w:val="000000" w:themeColor="text1"/>
          <w:lang w:val="en-US"/>
        </w:rPr>
        <w:t xml:space="preserve">location of the </w:t>
      </w:r>
      <w:r w:rsidR="006E709C" w:rsidRPr="00835ACD">
        <w:rPr>
          <w:color w:val="000000" w:themeColor="text1"/>
          <w:lang w:val="en-US"/>
        </w:rPr>
        <w:t xml:space="preserve">offlap break (upper slope break of the depositional profile) and its associated truncations (onlap, toplap, downlap; Vail et al., 1991). </w:t>
      </w:r>
      <w:r w:rsidR="00D12459" w:rsidRPr="00835ACD">
        <w:rPr>
          <w:color w:val="000000" w:themeColor="text1"/>
          <w:lang w:val="en-US"/>
        </w:rPr>
        <w:t xml:space="preserve">If the offlap break corresponds to the shoreline, its seaward migration is interpreted as a progradation and </w:t>
      </w:r>
      <w:r w:rsidR="00546CFA" w:rsidRPr="00835ACD">
        <w:rPr>
          <w:color w:val="000000" w:themeColor="text1"/>
          <w:lang w:val="en-US"/>
        </w:rPr>
        <w:t xml:space="preserve">its </w:t>
      </w:r>
      <w:r w:rsidR="00D12459" w:rsidRPr="00835ACD">
        <w:rPr>
          <w:color w:val="000000" w:themeColor="text1"/>
          <w:lang w:val="en-US"/>
        </w:rPr>
        <w:t>landward migration as a retrogradation.</w:t>
      </w:r>
      <w:r w:rsidR="008D4145" w:rsidRPr="00835ACD">
        <w:rPr>
          <w:color w:val="000000" w:themeColor="text1"/>
          <w:lang w:val="en-US"/>
        </w:rPr>
        <w:t xml:space="preserve"> </w:t>
      </w:r>
      <w:r w:rsidR="00C61B1D" w:rsidRPr="00835ACD">
        <w:rPr>
          <w:color w:val="000000" w:themeColor="text1"/>
          <w:lang w:val="en-US"/>
        </w:rPr>
        <w:t xml:space="preserve">Maximum flooding surfaces (MFS) are defined as the inversion from progradation to retrogradation whereas flooding surfaces (FS; or transgressive surfaces, TS, for Posamentier et al., 1988a, 1988b; Maximum regressive surfaces, MRS, for Embry, 1993) are defined as the </w:t>
      </w:r>
      <w:r w:rsidR="00C61B1D" w:rsidRPr="00835ACD">
        <w:rPr>
          <w:color w:val="000000" w:themeColor="text1"/>
          <w:lang w:val="en-US"/>
        </w:rPr>
        <w:lastRenderedPageBreak/>
        <w:t>inversion from retrogradation to progradation</w:t>
      </w:r>
      <w:r w:rsidR="005817F8" w:rsidRPr="00835ACD">
        <w:rPr>
          <w:color w:val="000000" w:themeColor="text1"/>
          <w:lang w:val="en-US"/>
        </w:rPr>
        <w:t xml:space="preserve"> (Fig</w:t>
      </w:r>
      <w:r w:rsidR="00AC69E7" w:rsidRPr="00835ACD">
        <w:rPr>
          <w:color w:val="000000" w:themeColor="text1"/>
          <w:lang w:val="en-US"/>
        </w:rPr>
        <w:t>s</w:t>
      </w:r>
      <w:r w:rsidR="005817F8" w:rsidRPr="00835ACD">
        <w:rPr>
          <w:color w:val="000000" w:themeColor="text1"/>
          <w:lang w:val="en-US"/>
        </w:rPr>
        <w:t>. S</w:t>
      </w:r>
      <w:r w:rsidR="00AC69E7" w:rsidRPr="00835ACD">
        <w:rPr>
          <w:color w:val="000000" w:themeColor="text1"/>
          <w:lang w:val="en-US"/>
        </w:rPr>
        <w:t>5 and S6</w:t>
      </w:r>
      <w:r w:rsidR="005817F8" w:rsidRPr="00835ACD">
        <w:rPr>
          <w:color w:val="000000" w:themeColor="text1"/>
          <w:lang w:val="en-US"/>
        </w:rPr>
        <w:t>)</w:t>
      </w:r>
      <w:r w:rsidR="00C61B1D" w:rsidRPr="00835ACD">
        <w:rPr>
          <w:color w:val="000000" w:themeColor="text1"/>
          <w:lang w:val="en-US"/>
        </w:rPr>
        <w:t xml:space="preserve">. </w:t>
      </w:r>
      <w:r w:rsidR="00C61B1D" w:rsidRPr="00835ACD">
        <w:rPr>
          <w:rFonts w:eastAsiaTheme="minorHAnsi"/>
          <w:color w:val="000000"/>
          <w:lang w:val="en-US" w:eastAsia="en-US"/>
        </w:rPr>
        <w:t xml:space="preserve">A progradational succession includes a highstand system tract (HST) and lowstand system tract (LST), separated by an unconformity (UN; </w:t>
      </w:r>
      <w:r w:rsidR="00C61B1D" w:rsidRPr="00835ACD">
        <w:rPr>
          <w:color w:val="000000" w:themeColor="text1"/>
          <w:lang w:val="en-US"/>
        </w:rPr>
        <w:t>Posamentier et al., 1988a, 1988b</w:t>
      </w:r>
      <w:r w:rsidR="005817F8" w:rsidRPr="00835ACD">
        <w:rPr>
          <w:color w:val="000000" w:themeColor="text1"/>
          <w:lang w:val="en-US"/>
        </w:rPr>
        <w:t>; Fig</w:t>
      </w:r>
      <w:r w:rsidR="00AC69E7" w:rsidRPr="00835ACD">
        <w:rPr>
          <w:color w:val="000000" w:themeColor="text1"/>
          <w:lang w:val="en-US"/>
        </w:rPr>
        <w:t>s</w:t>
      </w:r>
      <w:r w:rsidR="005817F8" w:rsidRPr="00835ACD">
        <w:rPr>
          <w:color w:val="000000" w:themeColor="text1"/>
          <w:lang w:val="en-US"/>
        </w:rPr>
        <w:t>. S</w:t>
      </w:r>
      <w:r w:rsidR="00AC69E7" w:rsidRPr="00835ACD">
        <w:rPr>
          <w:color w:val="000000" w:themeColor="text1"/>
          <w:lang w:val="en-US"/>
        </w:rPr>
        <w:t>5 and S6</w:t>
      </w:r>
      <w:r w:rsidR="00C61B1D" w:rsidRPr="00835ACD">
        <w:rPr>
          <w:rFonts w:eastAsiaTheme="minorHAnsi"/>
          <w:color w:val="000000"/>
          <w:lang w:val="en-US" w:eastAsia="en-US"/>
        </w:rPr>
        <w:t>). A retrogradational succession includes a transgressive system tract (TST; Fig. S</w:t>
      </w:r>
      <w:r w:rsidR="00AC69E7" w:rsidRPr="00835ACD">
        <w:rPr>
          <w:rFonts w:eastAsiaTheme="minorHAnsi"/>
          <w:color w:val="000000"/>
          <w:lang w:val="en-US" w:eastAsia="en-US"/>
        </w:rPr>
        <w:t>5</w:t>
      </w:r>
      <w:r w:rsidR="00C61B1D" w:rsidRPr="00835ACD">
        <w:rPr>
          <w:rFonts w:eastAsiaTheme="minorHAnsi"/>
          <w:color w:val="000000"/>
          <w:lang w:val="en-US" w:eastAsia="en-US"/>
        </w:rPr>
        <w:t>).</w:t>
      </w:r>
      <w:r w:rsidR="00C61B1D" w:rsidRPr="00835ACD">
        <w:rPr>
          <w:color w:val="000000" w:themeColor="text1"/>
          <w:lang w:val="en-US"/>
        </w:rPr>
        <w:t xml:space="preserve"> </w:t>
      </w:r>
    </w:p>
    <w:p w14:paraId="29470A9B" w14:textId="7F6AC7E5" w:rsidR="00AC69E7" w:rsidRDefault="00AC69E7" w:rsidP="001113E1">
      <w:pPr>
        <w:autoSpaceDE w:val="0"/>
        <w:autoSpaceDN w:val="0"/>
        <w:adjustRightInd w:val="0"/>
        <w:spacing w:after="120" w:line="480" w:lineRule="auto"/>
        <w:ind w:firstLine="708"/>
        <w:jc w:val="both"/>
        <w:rPr>
          <w:color w:val="000000" w:themeColor="text1"/>
          <w:lang w:val="en-US"/>
        </w:rPr>
      </w:pPr>
      <w:r w:rsidRPr="00835ACD">
        <w:rPr>
          <w:color w:val="000000" w:themeColor="text1"/>
          <w:lang w:val="en-US"/>
        </w:rPr>
        <w:t>We defined sedimentary environments from well-log signatures</w:t>
      </w:r>
      <w:r w:rsidR="00E304A3">
        <w:rPr>
          <w:color w:val="000000" w:themeColor="text1"/>
          <w:lang w:val="en-US"/>
        </w:rPr>
        <w:t xml:space="preserve">, </w:t>
      </w:r>
      <w:r w:rsidRPr="00835ACD">
        <w:rPr>
          <w:color w:val="000000" w:themeColor="text1"/>
          <w:lang w:val="en-US"/>
        </w:rPr>
        <w:t>calibrated the seismic geometries in terms of sedimentary facies and obtained geometries of the sedimentary bodies (Fig. S6). Coastal and deltaic plain were mapped as continental environments, shoreface and delta front as transitional, upper offshore as shallow marine (&lt;200m) and lower offshore as deep marine (&gt;200m). From the 9 horizons, we constructed 8 isochores maps in two-way time (TWT; Fig. 5).</w:t>
      </w:r>
    </w:p>
    <w:p w14:paraId="3E83A7C9" w14:textId="77777777" w:rsidR="00E304A3" w:rsidRPr="00835ACD" w:rsidRDefault="00E304A3" w:rsidP="001113E1">
      <w:pPr>
        <w:autoSpaceDE w:val="0"/>
        <w:autoSpaceDN w:val="0"/>
        <w:adjustRightInd w:val="0"/>
        <w:spacing w:after="120" w:line="480" w:lineRule="auto"/>
        <w:ind w:firstLine="708"/>
        <w:jc w:val="both"/>
        <w:rPr>
          <w:color w:val="000000" w:themeColor="text1"/>
          <w:lang w:val="en-US"/>
        </w:rPr>
      </w:pPr>
    </w:p>
    <w:p w14:paraId="19119370" w14:textId="7B50846D" w:rsidR="000426C2" w:rsidRPr="00835ACD" w:rsidRDefault="00F31CA3" w:rsidP="001113E1">
      <w:pPr>
        <w:pStyle w:val="Heading2"/>
        <w:spacing w:after="0" w:line="480" w:lineRule="auto"/>
        <w:jc w:val="both"/>
        <w:rPr>
          <w:rFonts w:cs="Times New Roman"/>
          <w:color w:val="000000" w:themeColor="text1"/>
          <w:szCs w:val="24"/>
          <w:lang w:val="en-US"/>
        </w:rPr>
      </w:pPr>
      <w:bookmarkStart w:id="0" w:name="_Toc462938247"/>
      <w:bookmarkStart w:id="1" w:name="_Toc464229253"/>
      <w:r w:rsidRPr="00835ACD">
        <w:rPr>
          <w:rFonts w:cs="Times New Roman"/>
          <w:color w:val="000000" w:themeColor="text1"/>
          <w:szCs w:val="24"/>
          <w:lang w:val="en-US"/>
        </w:rPr>
        <w:t>2</w:t>
      </w:r>
      <w:r w:rsidR="000426C2" w:rsidRPr="00835ACD">
        <w:rPr>
          <w:rFonts w:cs="Times New Roman"/>
          <w:color w:val="000000" w:themeColor="text1"/>
          <w:szCs w:val="24"/>
          <w:lang w:val="en-US"/>
        </w:rPr>
        <w:t xml:space="preserve">.2 Depth </w:t>
      </w:r>
      <w:r w:rsidR="00174587" w:rsidRPr="00835ACD">
        <w:rPr>
          <w:rFonts w:cs="Times New Roman"/>
          <w:color w:val="000000" w:themeColor="text1"/>
          <w:szCs w:val="24"/>
          <w:lang w:val="en-US"/>
        </w:rPr>
        <w:t>c</w:t>
      </w:r>
      <w:r w:rsidR="000426C2" w:rsidRPr="00835ACD">
        <w:rPr>
          <w:rFonts w:cs="Times New Roman"/>
          <w:color w:val="000000" w:themeColor="text1"/>
          <w:szCs w:val="24"/>
          <w:lang w:val="en-US"/>
        </w:rPr>
        <w:t>onversion</w:t>
      </w:r>
      <w:bookmarkEnd w:id="0"/>
      <w:bookmarkEnd w:id="1"/>
      <w:r w:rsidR="00174587" w:rsidRPr="00835ACD">
        <w:rPr>
          <w:rFonts w:cs="Times New Roman"/>
          <w:color w:val="000000" w:themeColor="text1"/>
          <w:szCs w:val="24"/>
          <w:lang w:val="en-US"/>
        </w:rPr>
        <w:t xml:space="preserve"> of isopach maps</w:t>
      </w:r>
    </w:p>
    <w:p w14:paraId="5251E197" w14:textId="34259F47" w:rsidR="000426C2" w:rsidRPr="00835ACD" w:rsidRDefault="00174587" w:rsidP="001113E1">
      <w:pPr>
        <w:spacing w:after="120" w:line="480" w:lineRule="auto"/>
        <w:ind w:firstLine="720"/>
        <w:jc w:val="both"/>
        <w:rPr>
          <w:color w:val="000000" w:themeColor="text1"/>
          <w:lang w:val="en-US"/>
        </w:rPr>
      </w:pPr>
      <w:r w:rsidRPr="00835ACD">
        <w:rPr>
          <w:color w:val="000000" w:themeColor="text1"/>
          <w:lang w:val="en-US"/>
        </w:rPr>
        <w:t>W</w:t>
      </w:r>
      <w:r w:rsidR="00041806" w:rsidRPr="00835ACD">
        <w:rPr>
          <w:color w:val="000000" w:themeColor="text1"/>
          <w:lang w:val="en-US"/>
        </w:rPr>
        <w:t>e depth converted</w:t>
      </w:r>
      <w:r w:rsidRPr="00835ACD">
        <w:rPr>
          <w:color w:val="000000" w:themeColor="text1"/>
          <w:lang w:val="en-US"/>
        </w:rPr>
        <w:t xml:space="preserve"> the </w:t>
      </w:r>
      <w:r w:rsidR="006D64A9" w:rsidRPr="00835ACD">
        <w:rPr>
          <w:color w:val="000000" w:themeColor="text1"/>
          <w:lang w:val="en-US"/>
        </w:rPr>
        <w:t xml:space="preserve">isochores maps </w:t>
      </w:r>
      <w:r w:rsidR="00041806" w:rsidRPr="00835ACD">
        <w:rPr>
          <w:color w:val="000000" w:themeColor="text1"/>
          <w:lang w:val="en-US"/>
        </w:rPr>
        <w:t>using a 6 layers law constrained at well locations</w:t>
      </w:r>
      <w:r w:rsidRPr="00835ACD">
        <w:rPr>
          <w:color w:val="000000" w:themeColor="text1"/>
          <w:lang w:val="en-US"/>
        </w:rPr>
        <w:t>.</w:t>
      </w:r>
      <w:r w:rsidR="006D64A9" w:rsidRPr="00835ACD">
        <w:rPr>
          <w:color w:val="44546A" w:themeColor="text2"/>
          <w:lang w:val="en-US"/>
        </w:rPr>
        <w:t xml:space="preserve"> </w:t>
      </w:r>
      <w:r w:rsidR="006D64A9" w:rsidRPr="00835ACD">
        <w:rPr>
          <w:color w:val="000000" w:themeColor="text1"/>
          <w:lang w:val="en-US"/>
        </w:rPr>
        <w:t xml:space="preserve">For each layer, we </w:t>
      </w:r>
      <w:r w:rsidR="00E15F30" w:rsidRPr="00835ACD">
        <w:rPr>
          <w:color w:val="000000" w:themeColor="text1"/>
          <w:lang w:val="en-US"/>
        </w:rPr>
        <w:t xml:space="preserve">defined either </w:t>
      </w:r>
      <w:r w:rsidR="006D64A9" w:rsidRPr="00835ACD">
        <w:rPr>
          <w:color w:val="000000" w:themeColor="text1"/>
          <w:lang w:val="en-US"/>
        </w:rPr>
        <w:t>a polynomial law</w:t>
      </w:r>
      <w:r w:rsidR="00700973" w:rsidRPr="00835ACD">
        <w:rPr>
          <w:color w:val="000000" w:themeColor="text1"/>
          <w:lang w:val="en-US"/>
        </w:rPr>
        <w:t xml:space="preserve">, the </w:t>
      </w:r>
      <w:r w:rsidR="0025177F" w:rsidRPr="00835ACD">
        <w:rPr>
          <w:color w:val="000000" w:themeColor="text1"/>
          <w:lang w:val="en-US"/>
        </w:rPr>
        <w:t>velocity map</w:t>
      </w:r>
      <w:r w:rsidR="00700973" w:rsidRPr="00835ACD">
        <w:rPr>
          <w:color w:val="000000" w:themeColor="text1"/>
          <w:lang w:val="en-US"/>
        </w:rPr>
        <w:t xml:space="preserve"> of the top and bottom layers or a mean velocity map of the interval depending on the variability of velocities in space</w:t>
      </w:r>
      <w:r w:rsidR="003844FF" w:rsidRPr="00835ACD">
        <w:rPr>
          <w:color w:val="000000" w:themeColor="text1"/>
          <w:lang w:val="en-US"/>
        </w:rPr>
        <w:t xml:space="preserve"> </w:t>
      </w:r>
      <w:r w:rsidR="00817EF1" w:rsidRPr="00835ACD">
        <w:rPr>
          <w:color w:val="000000" w:themeColor="text1"/>
          <w:lang w:val="en-US"/>
        </w:rPr>
        <w:t xml:space="preserve">and data available </w:t>
      </w:r>
      <w:r w:rsidR="003844FF" w:rsidRPr="00835ACD">
        <w:rPr>
          <w:color w:val="000000" w:themeColor="text1"/>
          <w:lang w:val="en-US"/>
        </w:rPr>
        <w:t>(Table S1)</w:t>
      </w:r>
      <w:r w:rsidR="00700973" w:rsidRPr="00835ACD">
        <w:rPr>
          <w:color w:val="000000" w:themeColor="text1"/>
          <w:lang w:val="en-US"/>
        </w:rPr>
        <w:t>.</w:t>
      </w:r>
    </w:p>
    <w:p w14:paraId="540DA132" w14:textId="3D1BB8AB" w:rsidR="00AE759B" w:rsidRDefault="00963E7A" w:rsidP="001113E1">
      <w:pPr>
        <w:spacing w:after="120" w:line="480" w:lineRule="auto"/>
        <w:ind w:firstLine="720"/>
        <w:jc w:val="both"/>
        <w:rPr>
          <w:color w:val="000000" w:themeColor="text1"/>
          <w:lang w:val="en-US"/>
        </w:rPr>
      </w:pPr>
      <w:r w:rsidRPr="00835ACD">
        <w:rPr>
          <w:color w:val="000000" w:themeColor="text1"/>
          <w:lang w:val="en-US"/>
        </w:rPr>
        <w:t>We also estimated the spatial variability of velocities within each layer</w:t>
      </w:r>
      <w:r w:rsidR="00E304A3">
        <w:rPr>
          <w:color w:val="000000" w:themeColor="text1"/>
          <w:lang w:val="en-US"/>
        </w:rPr>
        <w:t xml:space="preserve"> used</w:t>
      </w:r>
      <w:r w:rsidRPr="00835ACD">
        <w:rPr>
          <w:color w:val="000000" w:themeColor="text1"/>
          <w:lang w:val="en-US"/>
        </w:rPr>
        <w:t xml:space="preserve"> to estimate uncertainties in accumulated volumes and rates (see </w:t>
      </w:r>
      <w:r w:rsidR="00E304A3">
        <w:rPr>
          <w:color w:val="000000" w:themeColor="text1"/>
          <w:lang w:val="en-US"/>
        </w:rPr>
        <w:t>§2.6</w:t>
      </w:r>
      <w:r w:rsidRPr="00835ACD">
        <w:rPr>
          <w:color w:val="000000" w:themeColor="text1"/>
          <w:lang w:val="en-US"/>
        </w:rPr>
        <w:t>; Table S2).</w:t>
      </w:r>
    </w:p>
    <w:p w14:paraId="37CDA86D" w14:textId="77777777" w:rsidR="00E304A3" w:rsidRPr="00835ACD" w:rsidRDefault="00E304A3" w:rsidP="001113E1">
      <w:pPr>
        <w:spacing w:after="120" w:line="480" w:lineRule="auto"/>
        <w:ind w:firstLine="720"/>
        <w:jc w:val="both"/>
        <w:rPr>
          <w:color w:val="000000" w:themeColor="text1"/>
          <w:lang w:val="en-US"/>
        </w:rPr>
      </w:pPr>
    </w:p>
    <w:p w14:paraId="4BA4FEF5" w14:textId="5905FFB3" w:rsidR="000426C2" w:rsidRPr="00835ACD" w:rsidRDefault="00F31CA3" w:rsidP="001113E1">
      <w:pPr>
        <w:pStyle w:val="Heading2"/>
        <w:spacing w:after="0" w:line="480" w:lineRule="auto"/>
        <w:jc w:val="both"/>
        <w:rPr>
          <w:rFonts w:cs="Times New Roman"/>
          <w:color w:val="000000" w:themeColor="text1"/>
          <w:szCs w:val="24"/>
          <w:lang w:val="en-US"/>
        </w:rPr>
      </w:pPr>
      <w:r w:rsidRPr="00835ACD">
        <w:rPr>
          <w:rFonts w:cs="Times New Roman"/>
          <w:color w:val="000000" w:themeColor="text1"/>
          <w:szCs w:val="24"/>
          <w:lang w:val="en-US"/>
        </w:rPr>
        <w:t>2</w:t>
      </w:r>
      <w:r w:rsidR="000426C2" w:rsidRPr="00835ACD">
        <w:rPr>
          <w:rFonts w:cs="Times New Roman"/>
          <w:color w:val="000000" w:themeColor="text1"/>
          <w:szCs w:val="24"/>
          <w:lang w:val="en-US"/>
        </w:rPr>
        <w:t>.</w:t>
      </w:r>
      <w:r w:rsidR="00325F2C" w:rsidRPr="00835ACD">
        <w:rPr>
          <w:rFonts w:cs="Times New Roman"/>
          <w:color w:val="000000" w:themeColor="text1"/>
          <w:szCs w:val="24"/>
          <w:lang w:val="en-US"/>
        </w:rPr>
        <w:t>3</w:t>
      </w:r>
      <w:r w:rsidR="000426C2" w:rsidRPr="00835ACD">
        <w:rPr>
          <w:rFonts w:cs="Times New Roman"/>
          <w:color w:val="000000" w:themeColor="text1"/>
          <w:szCs w:val="24"/>
          <w:lang w:val="en-US"/>
        </w:rPr>
        <w:t xml:space="preserve"> Correction of </w:t>
      </w:r>
      <w:r w:rsidR="000426C2" w:rsidRPr="00835ACD">
        <w:rPr>
          <w:rFonts w:cs="Times New Roman"/>
          <w:i/>
          <w:iCs/>
          <w:color w:val="000000" w:themeColor="text1"/>
          <w:szCs w:val="24"/>
          <w:lang w:val="en-US"/>
        </w:rPr>
        <w:t>in situ</w:t>
      </w:r>
      <w:r w:rsidR="000426C2" w:rsidRPr="00835ACD">
        <w:rPr>
          <w:rFonts w:cs="Times New Roman"/>
          <w:color w:val="000000" w:themeColor="text1"/>
          <w:szCs w:val="24"/>
          <w:lang w:val="en-US"/>
        </w:rPr>
        <w:t xml:space="preserve"> production </w:t>
      </w:r>
    </w:p>
    <w:p w14:paraId="65E14BB5" w14:textId="3F0BE7F7" w:rsidR="00013EEE" w:rsidRPr="00835ACD" w:rsidRDefault="00013EEE" w:rsidP="001113E1">
      <w:pPr>
        <w:spacing w:after="120" w:line="480" w:lineRule="auto"/>
        <w:ind w:firstLine="708"/>
        <w:jc w:val="both"/>
        <w:rPr>
          <w:color w:val="000000" w:themeColor="text1"/>
          <w:lang w:val="en-US"/>
        </w:rPr>
      </w:pPr>
      <w:r w:rsidRPr="00835ACD">
        <w:rPr>
          <w:color w:val="000000" w:themeColor="text1"/>
          <w:lang w:val="en-US"/>
        </w:rPr>
        <w:t xml:space="preserve">Following the method of Rouby et al. (2009), </w:t>
      </w:r>
      <w:r w:rsidR="000426C2" w:rsidRPr="00835ACD">
        <w:rPr>
          <w:color w:val="000000" w:themeColor="text1"/>
          <w:lang w:val="en-US"/>
        </w:rPr>
        <w:t xml:space="preserve">we corrected </w:t>
      </w:r>
      <w:r w:rsidR="00505322" w:rsidRPr="00835ACD">
        <w:rPr>
          <w:color w:val="000000" w:themeColor="text1"/>
          <w:lang w:val="en-US"/>
        </w:rPr>
        <w:t xml:space="preserve">the deposited volumes </w:t>
      </w:r>
      <w:r w:rsidR="000426C2" w:rsidRPr="00835ACD">
        <w:rPr>
          <w:color w:val="000000" w:themeColor="text1"/>
          <w:lang w:val="en-US"/>
        </w:rPr>
        <w:t xml:space="preserve">from the </w:t>
      </w:r>
      <w:r w:rsidR="000426C2" w:rsidRPr="00835ACD">
        <w:rPr>
          <w:i/>
          <w:color w:val="000000" w:themeColor="text1"/>
          <w:lang w:val="en-US"/>
        </w:rPr>
        <w:t>in</w:t>
      </w:r>
      <w:r w:rsidR="0014671B" w:rsidRPr="00835ACD">
        <w:rPr>
          <w:i/>
          <w:color w:val="000000" w:themeColor="text1"/>
          <w:lang w:val="en-US"/>
        </w:rPr>
        <w:t>-</w:t>
      </w:r>
      <w:r w:rsidR="000426C2" w:rsidRPr="00835ACD">
        <w:rPr>
          <w:i/>
          <w:color w:val="000000" w:themeColor="text1"/>
          <w:lang w:val="en-US"/>
        </w:rPr>
        <w:t>situ</w:t>
      </w:r>
      <w:r w:rsidR="000426C2" w:rsidRPr="00835ACD">
        <w:rPr>
          <w:color w:val="000000" w:themeColor="text1"/>
          <w:lang w:val="en-US"/>
        </w:rPr>
        <w:t xml:space="preserve"> production content (i.e.</w:t>
      </w:r>
      <w:r w:rsidR="00643A6E" w:rsidRPr="00835ACD">
        <w:rPr>
          <w:color w:val="000000" w:themeColor="text1"/>
          <w:lang w:val="en-US"/>
        </w:rPr>
        <w:t>,</w:t>
      </w:r>
      <w:r w:rsidR="000426C2" w:rsidRPr="00835ACD">
        <w:rPr>
          <w:color w:val="000000" w:themeColor="text1"/>
          <w:lang w:val="en-US"/>
        </w:rPr>
        <w:t xml:space="preserve"> carbonates</w:t>
      </w:r>
      <w:r w:rsidRPr="00835ACD">
        <w:rPr>
          <w:color w:val="000000" w:themeColor="text1"/>
          <w:lang w:val="en-US"/>
        </w:rPr>
        <w:t>) to estimate the terrigenous portion. To do this, w</w:t>
      </w:r>
      <w:r w:rsidR="000426C2" w:rsidRPr="00835ACD">
        <w:rPr>
          <w:color w:val="000000" w:themeColor="text1"/>
          <w:lang w:val="en-US"/>
        </w:rPr>
        <w:t xml:space="preserve">e compiled the </w:t>
      </w:r>
      <w:r w:rsidR="0014671B" w:rsidRPr="00835ACD">
        <w:rPr>
          <w:color w:val="000000" w:themeColor="text1"/>
          <w:lang w:val="en-US"/>
        </w:rPr>
        <w:t xml:space="preserve">mean </w:t>
      </w:r>
      <w:r w:rsidR="000426C2" w:rsidRPr="00835ACD">
        <w:rPr>
          <w:color w:val="000000" w:themeColor="text1"/>
          <w:lang w:val="en-US"/>
        </w:rPr>
        <w:t xml:space="preserve">carbonate contents </w:t>
      </w:r>
      <w:r w:rsidR="00E304A3">
        <w:rPr>
          <w:color w:val="000000" w:themeColor="text1"/>
          <w:lang w:val="en-US"/>
        </w:rPr>
        <w:t>of</w:t>
      </w:r>
      <w:r w:rsidR="0014671B" w:rsidRPr="00835ACD">
        <w:rPr>
          <w:color w:val="000000" w:themeColor="text1"/>
          <w:lang w:val="en-US"/>
        </w:rPr>
        <w:t xml:space="preserve"> each time interval </w:t>
      </w:r>
      <w:r w:rsidR="00A219D9" w:rsidRPr="00835ACD">
        <w:rPr>
          <w:color w:val="000000" w:themeColor="text1"/>
          <w:lang w:val="en-US"/>
        </w:rPr>
        <w:t xml:space="preserve">(Fig. S7) </w:t>
      </w:r>
      <w:r w:rsidR="00E65D01" w:rsidRPr="00835ACD">
        <w:rPr>
          <w:color w:val="000000" w:themeColor="text1"/>
          <w:lang w:val="en-US"/>
        </w:rPr>
        <w:t xml:space="preserve">using 12 wells </w:t>
      </w:r>
      <w:r w:rsidR="00713286" w:rsidRPr="00835ACD">
        <w:rPr>
          <w:color w:val="000000" w:themeColor="text1"/>
          <w:lang w:val="en-US"/>
        </w:rPr>
        <w:t xml:space="preserve">in the </w:t>
      </w:r>
      <w:r w:rsidR="00713286" w:rsidRPr="00835ACD">
        <w:rPr>
          <w:color w:val="000000" w:themeColor="text1"/>
          <w:lang w:val="en-US"/>
        </w:rPr>
        <w:lastRenderedPageBreak/>
        <w:t>GS</w:t>
      </w:r>
      <w:r w:rsidR="00234C7F" w:rsidRPr="00835ACD">
        <w:rPr>
          <w:color w:val="000000" w:themeColor="text1"/>
          <w:lang w:val="en-US"/>
        </w:rPr>
        <w:t xml:space="preserve"> basin</w:t>
      </w:r>
      <w:r w:rsidR="00E65D01" w:rsidRPr="00835ACD">
        <w:rPr>
          <w:color w:val="000000" w:themeColor="text1"/>
          <w:lang w:val="en-US"/>
        </w:rPr>
        <w:t xml:space="preserve">, 6 wells on the Demerara plateau, </w:t>
      </w:r>
      <w:r w:rsidR="00713286" w:rsidRPr="00835ACD">
        <w:rPr>
          <w:color w:val="000000" w:themeColor="text1"/>
          <w:lang w:val="en-US"/>
        </w:rPr>
        <w:t xml:space="preserve">and </w:t>
      </w:r>
      <w:r w:rsidR="00E65D01" w:rsidRPr="00835ACD">
        <w:rPr>
          <w:color w:val="000000" w:themeColor="text1"/>
          <w:lang w:val="en-US"/>
        </w:rPr>
        <w:t xml:space="preserve">12 wells in </w:t>
      </w:r>
      <w:r w:rsidR="00713286" w:rsidRPr="00835ACD">
        <w:rPr>
          <w:color w:val="000000" w:themeColor="text1"/>
          <w:lang w:val="en-US"/>
        </w:rPr>
        <w:t xml:space="preserve">FOZ </w:t>
      </w:r>
      <w:r w:rsidR="00E65D01" w:rsidRPr="00835ACD">
        <w:rPr>
          <w:color w:val="000000" w:themeColor="text1"/>
          <w:lang w:val="en-US"/>
        </w:rPr>
        <w:t xml:space="preserve">basin </w:t>
      </w:r>
      <w:r w:rsidR="000426C2" w:rsidRPr="00835ACD">
        <w:rPr>
          <w:color w:val="000000" w:themeColor="text1"/>
          <w:lang w:val="en-US"/>
        </w:rPr>
        <w:t>(mostly located on the shelf</w:t>
      </w:r>
      <w:r w:rsidR="0014671B" w:rsidRPr="00835ACD">
        <w:rPr>
          <w:color w:val="000000" w:themeColor="text1"/>
          <w:lang w:val="en-US"/>
        </w:rPr>
        <w:t xml:space="preserve">; </w:t>
      </w:r>
      <w:r w:rsidR="000426C2" w:rsidRPr="00835ACD">
        <w:rPr>
          <w:color w:val="000000" w:themeColor="text1"/>
          <w:lang w:val="en-US"/>
        </w:rPr>
        <w:t>Fig. S</w:t>
      </w:r>
      <w:r w:rsidR="001C28EC" w:rsidRPr="00835ACD">
        <w:rPr>
          <w:color w:val="000000" w:themeColor="text1"/>
          <w:lang w:val="en-US"/>
        </w:rPr>
        <w:t>1</w:t>
      </w:r>
      <w:r w:rsidR="00234C7F" w:rsidRPr="00835ACD">
        <w:rPr>
          <w:color w:val="000000" w:themeColor="text1"/>
          <w:lang w:val="en-US"/>
        </w:rPr>
        <w:t xml:space="preserve">). </w:t>
      </w:r>
    </w:p>
    <w:p w14:paraId="222A1545" w14:textId="52B19F14" w:rsidR="003730AD" w:rsidRDefault="003730AD" w:rsidP="001113E1">
      <w:pPr>
        <w:spacing w:after="120" w:line="480" w:lineRule="auto"/>
        <w:ind w:firstLine="708"/>
        <w:jc w:val="both"/>
        <w:rPr>
          <w:color w:val="000000" w:themeColor="text1"/>
          <w:lang w:val="en-US"/>
        </w:rPr>
      </w:pPr>
      <w:r w:rsidRPr="00835ACD">
        <w:rPr>
          <w:color w:val="000000" w:themeColor="text1"/>
          <w:lang w:val="en-US"/>
        </w:rPr>
        <w:t xml:space="preserve">From this, we </w:t>
      </w:r>
      <w:r w:rsidR="00E304A3">
        <w:rPr>
          <w:color w:val="000000" w:themeColor="text1"/>
          <w:lang w:val="en-US"/>
        </w:rPr>
        <w:t>evaluated</w:t>
      </w:r>
      <w:r w:rsidRPr="00835ACD">
        <w:rPr>
          <w:color w:val="000000" w:themeColor="text1"/>
          <w:lang w:val="en-US"/>
        </w:rPr>
        <w:t xml:space="preserve"> the spatial variability of carbonate content within each layer </w:t>
      </w:r>
      <w:r w:rsidR="00E304A3">
        <w:rPr>
          <w:color w:val="000000" w:themeColor="text1"/>
          <w:lang w:val="en-US"/>
        </w:rPr>
        <w:t xml:space="preserve">from well data </w:t>
      </w:r>
      <w:r w:rsidRPr="00835ACD">
        <w:rPr>
          <w:color w:val="000000" w:themeColor="text1"/>
          <w:lang w:val="en-US"/>
        </w:rPr>
        <w:t xml:space="preserve">that we used </w:t>
      </w:r>
      <w:r w:rsidR="00E304A3">
        <w:rPr>
          <w:color w:val="000000" w:themeColor="text1"/>
          <w:lang w:val="en-US"/>
        </w:rPr>
        <w:t xml:space="preserve">then </w:t>
      </w:r>
      <w:r w:rsidRPr="00835ACD">
        <w:rPr>
          <w:color w:val="000000" w:themeColor="text1"/>
          <w:lang w:val="en-US"/>
        </w:rPr>
        <w:t xml:space="preserve">to estimate uncertainties in accumulated volumes and rates (see </w:t>
      </w:r>
      <w:r w:rsidR="00E304A3">
        <w:rPr>
          <w:color w:val="000000" w:themeColor="text1"/>
          <w:lang w:val="en-US"/>
        </w:rPr>
        <w:t>§2.6</w:t>
      </w:r>
      <w:r w:rsidRPr="00835ACD">
        <w:rPr>
          <w:color w:val="000000" w:themeColor="text1"/>
          <w:lang w:val="en-US"/>
        </w:rPr>
        <w:t>; Table S3).</w:t>
      </w:r>
    </w:p>
    <w:p w14:paraId="0330931E" w14:textId="77777777" w:rsidR="00E304A3" w:rsidRPr="00835ACD" w:rsidRDefault="00E304A3" w:rsidP="001113E1">
      <w:pPr>
        <w:spacing w:after="120" w:line="480" w:lineRule="auto"/>
        <w:ind w:firstLine="708"/>
        <w:jc w:val="both"/>
        <w:rPr>
          <w:color w:val="000000" w:themeColor="text1"/>
          <w:lang w:val="en-US"/>
        </w:rPr>
      </w:pPr>
    </w:p>
    <w:p w14:paraId="1923859A" w14:textId="7E8CE23B" w:rsidR="000426C2" w:rsidRPr="00835ACD" w:rsidRDefault="00F31CA3" w:rsidP="001113E1">
      <w:pPr>
        <w:pStyle w:val="Heading2"/>
        <w:spacing w:after="0" w:line="480" w:lineRule="auto"/>
        <w:jc w:val="both"/>
        <w:rPr>
          <w:rFonts w:cs="Times New Roman"/>
          <w:color w:val="000000" w:themeColor="text1"/>
          <w:szCs w:val="24"/>
          <w:lang w:val="en-US"/>
        </w:rPr>
      </w:pPr>
      <w:r w:rsidRPr="00835ACD">
        <w:rPr>
          <w:rFonts w:cs="Times New Roman"/>
          <w:color w:val="000000" w:themeColor="text1"/>
          <w:szCs w:val="24"/>
          <w:lang w:val="en-US"/>
        </w:rPr>
        <w:t>2</w:t>
      </w:r>
      <w:r w:rsidR="000426C2" w:rsidRPr="00835ACD">
        <w:rPr>
          <w:rFonts w:cs="Times New Roman"/>
          <w:color w:val="000000" w:themeColor="text1"/>
          <w:szCs w:val="24"/>
          <w:lang w:val="en-US"/>
        </w:rPr>
        <w:t>.</w:t>
      </w:r>
      <w:r w:rsidR="00145E77" w:rsidRPr="00835ACD">
        <w:rPr>
          <w:rFonts w:cs="Times New Roman"/>
          <w:color w:val="000000" w:themeColor="text1"/>
          <w:szCs w:val="24"/>
          <w:lang w:val="en-US"/>
        </w:rPr>
        <w:t>4</w:t>
      </w:r>
      <w:r w:rsidR="000426C2" w:rsidRPr="00835ACD">
        <w:rPr>
          <w:rFonts w:cs="Times New Roman"/>
          <w:color w:val="000000" w:themeColor="text1"/>
          <w:szCs w:val="24"/>
          <w:lang w:val="en-US"/>
        </w:rPr>
        <w:t xml:space="preserve"> Correction of remaining porosity </w:t>
      </w:r>
    </w:p>
    <w:p w14:paraId="02C93486" w14:textId="17D07929" w:rsidR="000426C2" w:rsidRPr="00835ACD" w:rsidRDefault="00013EEE" w:rsidP="001113E1">
      <w:pPr>
        <w:spacing w:after="120" w:line="480" w:lineRule="auto"/>
        <w:ind w:firstLine="720"/>
        <w:jc w:val="both"/>
        <w:rPr>
          <w:color w:val="000000" w:themeColor="text1"/>
          <w:lang w:val="en-US"/>
        </w:rPr>
      </w:pPr>
      <w:r w:rsidRPr="00835ACD">
        <w:rPr>
          <w:color w:val="000000" w:themeColor="text1"/>
          <w:lang w:val="en-US"/>
        </w:rPr>
        <w:t>Following the method of Rouby et al. (2009) and Guillocheau et al. (201</w:t>
      </w:r>
      <w:r w:rsidR="006637AD">
        <w:rPr>
          <w:color w:val="000000" w:themeColor="text1"/>
          <w:lang w:val="en-US"/>
        </w:rPr>
        <w:t>1</w:t>
      </w:r>
      <w:r w:rsidRPr="00835ACD">
        <w:rPr>
          <w:color w:val="000000" w:themeColor="text1"/>
          <w:lang w:val="en-US"/>
        </w:rPr>
        <w:t xml:space="preserve">), </w:t>
      </w:r>
      <w:r w:rsidR="000426C2" w:rsidRPr="00835ACD">
        <w:rPr>
          <w:color w:val="000000" w:themeColor="text1"/>
          <w:lang w:val="en-US"/>
        </w:rPr>
        <w:t xml:space="preserve">we corrected </w:t>
      </w:r>
      <w:r w:rsidR="00505322" w:rsidRPr="00835ACD">
        <w:rPr>
          <w:color w:val="000000" w:themeColor="text1"/>
          <w:lang w:val="en-US"/>
        </w:rPr>
        <w:t xml:space="preserve">the terrigeneous </w:t>
      </w:r>
      <w:r w:rsidR="000426C2" w:rsidRPr="00835ACD">
        <w:rPr>
          <w:color w:val="000000" w:themeColor="text1"/>
          <w:lang w:val="en-US"/>
        </w:rPr>
        <w:t>volumes from remaining porosity using an exponential law (</w:t>
      </w:r>
      <w:r w:rsidR="00CB5F77" w:rsidRPr="00835ACD">
        <w:rPr>
          <w:color w:val="000000" w:themeColor="text1"/>
          <w:lang w:val="en-US"/>
        </w:rPr>
        <w:t>1</w:t>
      </w:r>
      <w:r w:rsidRPr="00835ACD">
        <w:rPr>
          <w:color w:val="000000" w:themeColor="text1"/>
          <w:lang w:val="en-US"/>
        </w:rPr>
        <w:t>) to reach solid volume</w:t>
      </w:r>
      <w:r w:rsidR="00505322" w:rsidRPr="00835ACD">
        <w:rPr>
          <w:color w:val="000000" w:themeColor="text1"/>
          <w:lang w:val="en-US"/>
        </w:rPr>
        <w:t>s</w:t>
      </w:r>
      <w:r w:rsidRPr="00835ACD">
        <w:rPr>
          <w:color w:val="000000" w:themeColor="text1"/>
          <w:lang w:val="en-US"/>
        </w:rPr>
        <w:t xml:space="preserve"> of terrigenous sediments</w:t>
      </w:r>
      <w:r w:rsidR="000426C2" w:rsidRPr="00835ACD">
        <w:rPr>
          <w:color w:val="000000" w:themeColor="text1"/>
          <w:lang w:val="en-US"/>
        </w:rPr>
        <w:t>:</w:t>
      </w:r>
    </w:p>
    <w:p w14:paraId="7BF0A868" w14:textId="0C918430" w:rsidR="000426C2" w:rsidRPr="00835ACD" w:rsidRDefault="00BC10C7" w:rsidP="001113E1">
      <w:pPr>
        <w:spacing w:after="120" w:line="480" w:lineRule="auto"/>
        <w:jc w:val="center"/>
        <w:rPr>
          <w:color w:val="000000" w:themeColor="text1"/>
          <w:lang w:val="en-US"/>
        </w:rPr>
      </w:pPr>
      <m:oMath>
        <m:sSup>
          <m:sSupPr>
            <m:ctrlPr>
              <w:rPr>
                <w:rFonts w:ascii="Cambria Math" w:hAnsi="Cambria Math"/>
                <w:i/>
                <w:color w:val="000000" w:themeColor="text1"/>
                <w:lang w:val="en-US"/>
              </w:rPr>
            </m:ctrlPr>
          </m:sSupPr>
          <m:e>
            <m:r>
              <w:rPr>
                <w:rFonts w:ascii="Cambria Math" w:hAnsi="Cambria Math"/>
                <w:color w:val="000000" w:themeColor="text1"/>
                <w:lang w:val="en-US"/>
              </w:rPr>
              <m:t>∅</m:t>
            </m:r>
            <m:d>
              <m:dPr>
                <m:ctrlPr>
                  <w:rPr>
                    <w:rFonts w:ascii="Cambria Math" w:hAnsi="Cambria Math"/>
                    <w:i/>
                    <w:color w:val="000000" w:themeColor="text1"/>
                    <w:lang w:val="en-US"/>
                  </w:rPr>
                </m:ctrlPr>
              </m:dPr>
              <m:e>
                <m:r>
                  <w:rPr>
                    <w:rFonts w:ascii="Cambria Math" w:hAnsi="Cambria Math"/>
                    <w:color w:val="000000" w:themeColor="text1"/>
                    <w:lang w:val="en-US"/>
                  </w:rPr>
                  <m:t>z</m:t>
                </m:r>
              </m:e>
            </m:d>
            <m:r>
              <w:rPr>
                <w:rFonts w:ascii="Cambria Math" w:hAnsi="Cambria Math"/>
                <w:color w:val="000000" w:themeColor="text1"/>
                <w:lang w:val="en-US"/>
              </w:rPr>
              <m:t>=</m:t>
            </m:r>
            <m:sSub>
              <m:sSubPr>
                <m:ctrlPr>
                  <w:rPr>
                    <w:rFonts w:ascii="Cambria Math" w:hAnsi="Cambria Math"/>
                    <w:i/>
                    <w:color w:val="000000" w:themeColor="text1"/>
                    <w:lang w:val="en-US"/>
                  </w:rPr>
                </m:ctrlPr>
              </m:sSubPr>
              <m:e>
                <m:r>
                  <w:rPr>
                    <w:rFonts w:ascii="Cambria Math" w:hAnsi="Cambria Math"/>
                    <w:color w:val="000000" w:themeColor="text1"/>
                    <w:lang w:val="en-US"/>
                  </w:rPr>
                  <m:t>∅</m:t>
                </m:r>
              </m:e>
              <m:sub>
                <m:r>
                  <w:rPr>
                    <w:rFonts w:ascii="Cambria Math" w:hAnsi="Cambria Math"/>
                    <w:color w:val="000000" w:themeColor="text1"/>
                    <w:lang w:val="en-US"/>
                  </w:rPr>
                  <m:t>0</m:t>
                </m:r>
              </m:sub>
            </m:sSub>
            <m:r>
              <w:rPr>
                <w:rFonts w:ascii="Cambria Math" w:hAnsi="Cambria Math"/>
                <w:color w:val="000000" w:themeColor="text1"/>
                <w:lang w:val="en-US"/>
              </w:rPr>
              <m:t>e</m:t>
            </m:r>
          </m:e>
          <m:sup>
            <m:r>
              <w:rPr>
                <w:rFonts w:ascii="Cambria Math" w:hAnsi="Cambria Math"/>
                <w:color w:val="000000" w:themeColor="text1"/>
                <w:lang w:val="en-US"/>
              </w:rPr>
              <m:t>-cz</m:t>
            </m:r>
          </m:sup>
        </m:sSup>
      </m:oMath>
      <w:r w:rsidR="00CB5F77" w:rsidRPr="00835ACD">
        <w:rPr>
          <w:color w:val="000000" w:themeColor="text1"/>
          <w:lang w:val="en-US"/>
        </w:rPr>
        <w:tab/>
      </w:r>
      <w:r w:rsidR="00CB5F77" w:rsidRPr="00835ACD">
        <w:rPr>
          <w:color w:val="000000" w:themeColor="text1"/>
          <w:lang w:val="en-US"/>
        </w:rPr>
        <w:tab/>
      </w:r>
      <w:r w:rsidR="000426C2" w:rsidRPr="00835ACD">
        <w:rPr>
          <w:color w:val="000000" w:themeColor="text1"/>
          <w:lang w:val="en-US"/>
        </w:rPr>
        <w:t>(</w:t>
      </w:r>
      <w:r w:rsidR="00CB5F77" w:rsidRPr="00835ACD">
        <w:rPr>
          <w:color w:val="000000" w:themeColor="text1"/>
          <w:lang w:val="en-US"/>
        </w:rPr>
        <w:t>1</w:t>
      </w:r>
      <w:r w:rsidR="000426C2" w:rsidRPr="00835ACD">
        <w:rPr>
          <w:color w:val="000000" w:themeColor="text1"/>
          <w:lang w:val="en-US"/>
        </w:rPr>
        <w:t>)</w:t>
      </w:r>
    </w:p>
    <w:p w14:paraId="04FCA8D4" w14:textId="1AAA9F7B" w:rsidR="000426C2" w:rsidRPr="00835ACD" w:rsidRDefault="000426C2" w:rsidP="001113E1">
      <w:pPr>
        <w:spacing w:after="120" w:line="480" w:lineRule="auto"/>
        <w:ind w:firstLine="720"/>
        <w:jc w:val="both"/>
        <w:rPr>
          <w:color w:val="000000" w:themeColor="text1"/>
          <w:lang w:val="en-US"/>
        </w:rPr>
      </w:pPr>
      <w:r w:rsidRPr="00835ACD">
        <w:rPr>
          <w:color w:val="000000" w:themeColor="text1"/>
          <w:lang w:val="en-US"/>
        </w:rPr>
        <w:t xml:space="preserve">where </w:t>
      </w:r>
      <m:oMath>
        <m:r>
          <w:rPr>
            <w:rFonts w:ascii="Cambria Math" w:hAnsi="Cambria Math"/>
            <w:color w:val="000000" w:themeColor="text1"/>
            <w:lang w:val="en-US"/>
          </w:rPr>
          <m:t>∅</m:t>
        </m:r>
      </m:oMath>
      <w:r w:rsidRPr="00835ACD">
        <w:rPr>
          <w:color w:val="000000" w:themeColor="text1"/>
          <w:lang w:val="en-US"/>
        </w:rPr>
        <w:t xml:space="preserve">(z) is the porosity at depth z, </w:t>
      </w:r>
      <m:oMath>
        <m:sSub>
          <m:sSubPr>
            <m:ctrlPr>
              <w:rPr>
                <w:rFonts w:ascii="Cambria Math" w:hAnsi="Cambria Math"/>
                <w:i/>
                <w:color w:val="000000" w:themeColor="text1"/>
                <w:lang w:val="en-US"/>
              </w:rPr>
            </m:ctrlPr>
          </m:sSubPr>
          <m:e>
            <m:r>
              <w:rPr>
                <w:rFonts w:ascii="Cambria Math" w:hAnsi="Cambria Math"/>
                <w:color w:val="000000" w:themeColor="text1"/>
                <w:lang w:val="en-US"/>
              </w:rPr>
              <m:t>∅</m:t>
            </m:r>
          </m:e>
          <m:sub>
            <m:r>
              <w:rPr>
                <w:rFonts w:ascii="Cambria Math" w:hAnsi="Cambria Math"/>
                <w:color w:val="000000" w:themeColor="text1"/>
                <w:lang w:val="en-US"/>
              </w:rPr>
              <m:t>0</m:t>
            </m:r>
          </m:sub>
        </m:sSub>
      </m:oMath>
      <w:r w:rsidRPr="00835ACD">
        <w:rPr>
          <w:color w:val="000000" w:themeColor="text1"/>
          <w:lang w:val="en-US"/>
        </w:rPr>
        <w:t xml:space="preserve"> the porosity at the surface and c the compaction factor depending on the lithology. We used,</w:t>
      </w:r>
      <w:r w:rsidRPr="00835ACD">
        <w:rPr>
          <w:noProof/>
          <w:color w:val="000000" w:themeColor="text1"/>
          <w:lang w:val="en-US"/>
        </w:rPr>
        <w:t xml:space="preserve"> </w:t>
      </w:r>
      <m:oMath>
        <m:sSub>
          <m:sSubPr>
            <m:ctrlPr>
              <w:rPr>
                <w:rFonts w:ascii="Cambria Math" w:hAnsi="Cambria Math"/>
                <w:i/>
                <w:color w:val="000000" w:themeColor="text1"/>
                <w:lang w:val="en-US"/>
              </w:rPr>
            </m:ctrlPr>
          </m:sSubPr>
          <m:e>
            <m:r>
              <w:rPr>
                <w:rFonts w:ascii="Cambria Math" w:hAnsi="Cambria Math"/>
                <w:color w:val="000000" w:themeColor="text1"/>
                <w:lang w:val="en-US"/>
              </w:rPr>
              <m:t>∅</m:t>
            </m:r>
          </m:e>
          <m:sub>
            <m:r>
              <w:rPr>
                <w:rFonts w:ascii="Cambria Math" w:hAnsi="Cambria Math"/>
                <w:color w:val="000000" w:themeColor="text1"/>
                <w:lang w:val="en-US"/>
              </w:rPr>
              <m:t>0</m:t>
            </m:r>
          </m:sub>
        </m:sSub>
      </m:oMath>
      <w:r w:rsidRPr="00835ACD">
        <w:rPr>
          <w:noProof/>
          <w:color w:val="000000" w:themeColor="text1"/>
          <w:lang w:val="en-US"/>
        </w:rPr>
        <w:t xml:space="preserve"> equal to 0.</w:t>
      </w:r>
      <w:r w:rsidR="009A31CE" w:rsidRPr="00835ACD">
        <w:rPr>
          <w:noProof/>
          <w:color w:val="000000" w:themeColor="text1"/>
          <w:lang w:val="en-US"/>
        </w:rPr>
        <w:t>4</w:t>
      </w:r>
      <w:r w:rsidRPr="00835ACD">
        <w:rPr>
          <w:noProof/>
          <w:color w:val="000000" w:themeColor="text1"/>
          <w:lang w:val="en-US"/>
        </w:rPr>
        <w:t xml:space="preserve"> for sand and 0.6 for clay, and c equal to 0.4 km</w:t>
      </w:r>
      <w:r w:rsidRPr="00835ACD">
        <w:rPr>
          <w:noProof/>
          <w:color w:val="000000" w:themeColor="text1"/>
          <w:vertAlign w:val="superscript"/>
          <w:lang w:val="en-US"/>
        </w:rPr>
        <w:t>-1</w:t>
      </w:r>
      <w:r w:rsidRPr="00835ACD">
        <w:rPr>
          <w:noProof/>
          <w:color w:val="000000" w:themeColor="text1"/>
          <w:lang w:val="en-US"/>
        </w:rPr>
        <w:t xml:space="preserve"> for sand and 0.5 km</w:t>
      </w:r>
      <w:r w:rsidRPr="00835ACD">
        <w:rPr>
          <w:noProof/>
          <w:color w:val="000000" w:themeColor="text1"/>
          <w:vertAlign w:val="superscript"/>
          <w:lang w:val="en-US"/>
        </w:rPr>
        <w:t>-1</w:t>
      </w:r>
      <w:r w:rsidRPr="00835ACD">
        <w:rPr>
          <w:noProof/>
          <w:color w:val="000000" w:themeColor="text1"/>
          <w:lang w:val="en-US"/>
        </w:rPr>
        <w:t xml:space="preserve"> for clay </w:t>
      </w:r>
      <w:r w:rsidRPr="00835ACD">
        <w:rPr>
          <w:noProof/>
          <w:color w:val="000000" w:themeColor="text1"/>
          <w:lang w:val="en-US"/>
        </w:rPr>
        <w:fldChar w:fldCharType="begin"/>
      </w:r>
      <w:r w:rsidRPr="00835ACD">
        <w:rPr>
          <w:noProof/>
          <w:color w:val="000000" w:themeColor="text1"/>
          <w:lang w:val="en-US"/>
        </w:rPr>
        <w:instrText xml:space="preserve"> ADDIN EN.CITE &lt;EndNote&gt;&lt;Cite&gt;&lt;Author&gt;Jones&lt;/Author&gt;&lt;Year&gt;2004&lt;/Year&gt;&lt;RecNum&gt;1904&lt;/RecNum&gt;&lt;DisplayText&gt;(Jones et al., 2004)&lt;/DisplayText&gt;&lt;record&gt;&lt;rec-number&gt;1904&lt;/rec-number&gt;&lt;foreign-keys&gt;&lt;key app="EN" db-id="ddxw25t0qt550fezd0n5efrsxt5f5pvwpw55" timestamp="1620050335" guid="38fe217c-198f-4669-bcdb-5845271cb03b"&gt;1904&lt;/key&gt;&lt;/foreign-keys&gt;&lt;ref-type name="Journal Article"&gt;17&lt;/ref-type&gt;&lt;contributors&gt;&lt;authors&gt;&lt;author&gt;Jones, Stephen M.&lt;/author&gt;&lt;author&gt;White, Nicky&lt;/author&gt;&lt;author&gt;Faulkner, Paul&lt;/author&gt;&lt;author&gt;Bellingham, Paul&lt;/author&gt;&lt;/authors&gt;&lt;/contributors&gt;&lt;titles&gt;&lt;title&gt;Animated models of extensional basins and passive margins&lt;/title&gt;&lt;secondary-title&gt;Geochemistry, Geophysics, Geosystems&lt;/secondary-title&gt;&lt;/titles&gt;&lt;periodical&gt;&lt;full-title&gt;Geochemistry, Geophysics, Geosystems&lt;/full-title&gt;&lt;/periodical&gt;&lt;pages&gt;n/a-n/a&lt;/pages&gt;&lt;volume&gt;5&lt;/volume&gt;&lt;number&gt;8&lt;/number&gt;&lt;dates&gt;&lt;year&gt;2004&lt;/year&gt;&lt;pub-dates&gt;&lt;date&gt;2004-08-01&lt;/date&gt;&lt;/pub-dates&gt;&lt;/dates&gt;&lt;publisher&gt;American Geophysical Union (AGU)&lt;/publisher&gt;&lt;isbn&gt;1525-2027&lt;/isbn&gt;&lt;urls&gt;&lt;/urls&gt;&lt;electronic-resource-num&gt;10.1029/2003gc000658&lt;/electronic-resource-num&gt;&lt;access-date&gt;2021-05-03T13:38:02&lt;/access-date&gt;&lt;/record&gt;&lt;/Cite&gt;&lt;/EndNote&gt;</w:instrText>
      </w:r>
      <w:r w:rsidRPr="00835ACD">
        <w:rPr>
          <w:noProof/>
          <w:color w:val="000000" w:themeColor="text1"/>
          <w:lang w:val="en-US"/>
        </w:rPr>
        <w:fldChar w:fldCharType="separate"/>
      </w:r>
      <w:r w:rsidRPr="00835ACD">
        <w:rPr>
          <w:noProof/>
          <w:color w:val="000000" w:themeColor="text1"/>
          <w:lang w:val="en-US"/>
        </w:rPr>
        <w:t>(Jones et al., 200</w:t>
      </w:r>
      <w:r w:rsidR="00021B33">
        <w:rPr>
          <w:noProof/>
          <w:color w:val="000000" w:themeColor="text1"/>
          <w:lang w:val="en-US"/>
        </w:rPr>
        <w:t>1</w:t>
      </w:r>
      <w:r w:rsidRPr="00835ACD">
        <w:rPr>
          <w:noProof/>
          <w:color w:val="000000" w:themeColor="text1"/>
          <w:lang w:val="en-US"/>
        </w:rPr>
        <w:t>)</w:t>
      </w:r>
      <w:r w:rsidRPr="00835ACD">
        <w:rPr>
          <w:noProof/>
          <w:color w:val="000000" w:themeColor="text1"/>
          <w:lang w:val="en-US"/>
        </w:rPr>
        <w:fldChar w:fldCharType="end"/>
      </w:r>
      <w:r w:rsidRPr="00835ACD">
        <w:rPr>
          <w:noProof/>
          <w:color w:val="000000" w:themeColor="text1"/>
          <w:lang w:val="en-US"/>
        </w:rPr>
        <w:t>.</w:t>
      </w:r>
    </w:p>
    <w:p w14:paraId="6BE58669" w14:textId="1F444831" w:rsidR="000426C2" w:rsidRPr="00835ACD" w:rsidRDefault="000426C2" w:rsidP="001113E1">
      <w:pPr>
        <w:autoSpaceDE w:val="0"/>
        <w:autoSpaceDN w:val="0"/>
        <w:adjustRightInd w:val="0"/>
        <w:spacing w:after="120" w:line="480" w:lineRule="auto"/>
        <w:ind w:firstLine="708"/>
        <w:rPr>
          <w:color w:val="000000" w:themeColor="text1"/>
          <w:lang w:val="en-US"/>
        </w:rPr>
      </w:pPr>
      <w:r w:rsidRPr="00835ACD">
        <w:rPr>
          <w:color w:val="000000" w:themeColor="text1"/>
          <w:lang w:val="en-US"/>
        </w:rPr>
        <w:t>Averaged porosity (</w:t>
      </w:r>
      <m:oMath>
        <m:r>
          <m:rPr>
            <m:sty m:val="p"/>
          </m:rPr>
          <w:rPr>
            <w:rFonts w:ascii="Cambria Math" w:hAnsi="Cambria Math"/>
            <w:color w:val="000000" w:themeColor="text1"/>
            <w:lang w:val="en-US"/>
          </w:rPr>
          <m:t>∅</m:t>
        </m:r>
      </m:oMath>
      <w:r w:rsidRPr="00835ACD">
        <w:rPr>
          <w:color w:val="000000" w:themeColor="text1"/>
          <w:lang w:val="en-US"/>
        </w:rPr>
        <w:t>|) between the depth z1 and z2 was then obtained by:</w:t>
      </w:r>
    </w:p>
    <w:p w14:paraId="58A0233D" w14:textId="1C6582B9" w:rsidR="000426C2" w:rsidRPr="00835ACD" w:rsidRDefault="000426C2" w:rsidP="001113E1">
      <w:pPr>
        <w:autoSpaceDE w:val="0"/>
        <w:autoSpaceDN w:val="0"/>
        <w:adjustRightInd w:val="0"/>
        <w:spacing w:after="120" w:line="480" w:lineRule="auto"/>
        <w:jc w:val="center"/>
        <w:rPr>
          <w:color w:val="000000" w:themeColor="text1"/>
          <w:lang w:val="en-US"/>
        </w:rPr>
      </w:pPr>
      <m:oMath>
        <m:r>
          <m:rPr>
            <m:sty m:val="p"/>
          </m:rPr>
          <w:rPr>
            <w:rFonts w:ascii="Cambria Math" w:hAnsi="Cambria Math"/>
            <w:color w:val="000000" w:themeColor="text1"/>
            <w:lang w:val="en-US"/>
          </w:rPr>
          <m:t>∅|=(</m:t>
        </m:r>
        <m:f>
          <m:fPr>
            <m:ctrlPr>
              <w:rPr>
                <w:rFonts w:ascii="Cambria Math" w:hAnsi="Cambria Math"/>
                <w:color w:val="000000" w:themeColor="text1"/>
                <w:lang w:val="en-US"/>
              </w:rPr>
            </m:ctrlPr>
          </m:fPr>
          <m:num>
            <m:r>
              <m:rPr>
                <m:sty m:val="p"/>
              </m:rPr>
              <w:rPr>
                <w:rFonts w:ascii="Cambria Math" w:hAnsi="Cambria Math"/>
                <w:color w:val="000000" w:themeColor="text1"/>
                <w:lang w:val="en-US"/>
              </w:rPr>
              <m:t>∅0</m:t>
            </m:r>
          </m:num>
          <m:den>
            <m:r>
              <m:rPr>
                <m:sty m:val="p"/>
              </m:rPr>
              <w:rPr>
                <w:rFonts w:ascii="Cambria Math" w:hAnsi="Cambria Math"/>
                <w:color w:val="000000" w:themeColor="text1"/>
                <w:lang w:val="en-US"/>
              </w:rPr>
              <m:t>c</m:t>
            </m:r>
          </m:den>
        </m:f>
        <m:r>
          <m:rPr>
            <m:sty m:val="p"/>
          </m:rPr>
          <w:rPr>
            <w:rFonts w:ascii="Cambria Math" w:hAnsi="Cambria Math"/>
            <w:color w:val="000000" w:themeColor="text1"/>
            <w:lang w:val="en-US"/>
          </w:rPr>
          <m:t>)</m:t>
        </m:r>
        <m:f>
          <m:fPr>
            <m:ctrlPr>
              <w:rPr>
                <w:rFonts w:ascii="Cambria Math" w:hAnsi="Cambria Math"/>
                <w:color w:val="000000" w:themeColor="text1"/>
                <w:lang w:val="en-US"/>
              </w:rPr>
            </m:ctrlPr>
          </m:fPr>
          <m:num>
            <m:sSup>
              <m:sSupPr>
                <m:ctrlPr>
                  <w:rPr>
                    <w:rFonts w:ascii="Cambria Math" w:hAnsi="Cambria Math"/>
                    <w:color w:val="000000" w:themeColor="text1"/>
                    <w:lang w:val="en-US"/>
                  </w:rPr>
                </m:ctrlPr>
              </m:sSupPr>
              <m:e>
                <m:r>
                  <w:rPr>
                    <w:rFonts w:ascii="Cambria Math" w:hAnsi="Cambria Math"/>
                    <w:color w:val="000000" w:themeColor="text1"/>
                    <w:lang w:val="en-US"/>
                  </w:rPr>
                  <m:t>e</m:t>
                </m:r>
              </m:e>
              <m:sup>
                <m:r>
                  <m:rPr>
                    <m:sty m:val="p"/>
                  </m:rPr>
                  <w:rPr>
                    <w:rFonts w:ascii="Cambria Math" w:hAnsi="Cambria Math"/>
                    <w:color w:val="000000" w:themeColor="text1"/>
                    <w:lang w:val="en-US"/>
                  </w:rPr>
                  <m:t>-</m:t>
                </m:r>
                <m:r>
                  <w:rPr>
                    <w:rFonts w:ascii="Cambria Math" w:hAnsi="Cambria Math"/>
                    <w:color w:val="000000" w:themeColor="text1"/>
                    <w:lang w:val="en-US"/>
                  </w:rPr>
                  <m:t>cz</m:t>
                </m:r>
                <m:r>
                  <m:rPr>
                    <m:sty m:val="p"/>
                  </m:rPr>
                  <w:rPr>
                    <w:rFonts w:ascii="Cambria Math" w:hAnsi="Cambria Math"/>
                    <w:color w:val="000000" w:themeColor="text1"/>
                    <w:lang w:val="en-US"/>
                  </w:rPr>
                  <m:t>1</m:t>
                </m:r>
              </m:sup>
            </m:sSup>
            <m:r>
              <m:rPr>
                <m:sty m:val="p"/>
              </m:rPr>
              <w:rPr>
                <w:rFonts w:ascii="Cambria Math" w:hAnsi="Cambria Math"/>
                <w:color w:val="000000" w:themeColor="text1"/>
                <w:lang w:val="en-US"/>
              </w:rPr>
              <m:t>-</m:t>
            </m:r>
            <m:sSup>
              <m:sSupPr>
                <m:ctrlPr>
                  <w:rPr>
                    <w:rFonts w:ascii="Cambria Math" w:hAnsi="Cambria Math"/>
                    <w:color w:val="000000" w:themeColor="text1"/>
                    <w:lang w:val="en-US"/>
                  </w:rPr>
                </m:ctrlPr>
              </m:sSupPr>
              <m:e>
                <m:r>
                  <w:rPr>
                    <w:rFonts w:ascii="Cambria Math" w:hAnsi="Cambria Math"/>
                    <w:color w:val="000000" w:themeColor="text1"/>
                    <w:lang w:val="en-US"/>
                  </w:rPr>
                  <m:t>e</m:t>
                </m:r>
              </m:e>
              <m:sup>
                <m:r>
                  <m:rPr>
                    <m:sty m:val="p"/>
                  </m:rPr>
                  <w:rPr>
                    <w:rFonts w:ascii="Cambria Math" w:hAnsi="Cambria Math"/>
                    <w:color w:val="000000" w:themeColor="text1"/>
                    <w:lang w:val="en-US"/>
                  </w:rPr>
                  <m:t>-</m:t>
                </m:r>
                <m:r>
                  <w:rPr>
                    <w:rFonts w:ascii="Cambria Math" w:hAnsi="Cambria Math"/>
                    <w:color w:val="000000" w:themeColor="text1"/>
                    <w:lang w:val="en-US"/>
                  </w:rPr>
                  <m:t>cz</m:t>
                </m:r>
                <m:r>
                  <m:rPr>
                    <m:sty m:val="p"/>
                  </m:rPr>
                  <w:rPr>
                    <w:rFonts w:ascii="Cambria Math" w:hAnsi="Cambria Math"/>
                    <w:color w:val="000000" w:themeColor="text1"/>
                    <w:lang w:val="en-US"/>
                  </w:rPr>
                  <m:t>2</m:t>
                </m:r>
              </m:sup>
            </m:sSup>
          </m:num>
          <m:den>
            <m:r>
              <w:rPr>
                <w:rFonts w:ascii="Cambria Math" w:hAnsi="Cambria Math"/>
                <w:color w:val="000000" w:themeColor="text1"/>
                <w:lang w:val="en-US"/>
              </w:rPr>
              <m:t>z</m:t>
            </m:r>
            <m:r>
              <m:rPr>
                <m:sty m:val="p"/>
              </m:rPr>
              <w:rPr>
                <w:rFonts w:ascii="Cambria Math" w:hAnsi="Cambria Math"/>
                <w:color w:val="000000" w:themeColor="text1"/>
                <w:lang w:val="en-US"/>
              </w:rPr>
              <m:t>1-</m:t>
            </m:r>
            <m:r>
              <w:rPr>
                <w:rFonts w:ascii="Cambria Math" w:hAnsi="Cambria Math"/>
                <w:color w:val="000000" w:themeColor="text1"/>
                <w:lang w:val="en-US"/>
              </w:rPr>
              <m:t>z</m:t>
            </m:r>
            <m:r>
              <m:rPr>
                <m:sty m:val="p"/>
              </m:rPr>
              <w:rPr>
                <w:rFonts w:ascii="Cambria Math" w:hAnsi="Cambria Math"/>
                <w:color w:val="000000" w:themeColor="text1"/>
                <w:lang w:val="en-US"/>
              </w:rPr>
              <m:t>2</m:t>
            </m:r>
          </m:den>
        </m:f>
      </m:oMath>
      <w:r w:rsidR="00CB5F77" w:rsidRPr="00835ACD">
        <w:rPr>
          <w:color w:val="000000" w:themeColor="text1"/>
          <w:lang w:val="en-US"/>
        </w:rPr>
        <w:tab/>
      </w:r>
      <w:r w:rsidR="00CB5F77" w:rsidRPr="00835ACD">
        <w:rPr>
          <w:color w:val="000000" w:themeColor="text1"/>
          <w:lang w:val="en-US"/>
        </w:rPr>
        <w:tab/>
      </w:r>
      <w:r w:rsidRPr="00835ACD">
        <w:rPr>
          <w:color w:val="000000" w:themeColor="text1"/>
          <w:lang w:val="en-US"/>
        </w:rPr>
        <w:t>(</w:t>
      </w:r>
      <w:r w:rsidR="00CB5F77" w:rsidRPr="00835ACD">
        <w:rPr>
          <w:color w:val="000000" w:themeColor="text1"/>
          <w:lang w:val="en-US"/>
        </w:rPr>
        <w:t>2</w:t>
      </w:r>
      <w:r w:rsidRPr="00835ACD">
        <w:rPr>
          <w:color w:val="000000" w:themeColor="text1"/>
          <w:lang w:val="en-US"/>
        </w:rPr>
        <w:t>)</w:t>
      </w:r>
    </w:p>
    <w:p w14:paraId="260DC79C" w14:textId="46ADF57D" w:rsidR="000426C2" w:rsidRPr="00835ACD" w:rsidRDefault="000426C2" w:rsidP="001113E1">
      <w:pPr>
        <w:autoSpaceDE w:val="0"/>
        <w:autoSpaceDN w:val="0"/>
        <w:adjustRightInd w:val="0"/>
        <w:spacing w:after="120" w:line="480" w:lineRule="auto"/>
        <w:ind w:firstLine="708"/>
        <w:rPr>
          <w:color w:val="000000" w:themeColor="text1"/>
          <w:lang w:val="en-US"/>
        </w:rPr>
      </w:pPr>
      <w:r w:rsidRPr="00835ACD">
        <w:rPr>
          <w:color w:val="000000" w:themeColor="text1"/>
          <w:lang w:val="en-US"/>
        </w:rPr>
        <w:t>The solid volume was estimated by the equation (6):</w:t>
      </w:r>
    </w:p>
    <w:p w14:paraId="5921181F" w14:textId="0BE486EE" w:rsidR="000426C2" w:rsidRPr="00835ACD" w:rsidRDefault="000426C2" w:rsidP="001113E1">
      <w:pPr>
        <w:autoSpaceDE w:val="0"/>
        <w:autoSpaceDN w:val="0"/>
        <w:adjustRightInd w:val="0"/>
        <w:spacing w:after="120" w:line="480" w:lineRule="auto"/>
        <w:jc w:val="center"/>
        <w:rPr>
          <w:color w:val="000000" w:themeColor="text1"/>
          <w:lang w:val="en-US"/>
        </w:rPr>
      </w:pPr>
      <w:r w:rsidRPr="00835ACD">
        <w:rPr>
          <w:color w:val="000000" w:themeColor="text1"/>
          <w:lang w:val="en-US"/>
        </w:rPr>
        <w:t>V</w:t>
      </w:r>
      <w:r w:rsidRPr="00835ACD">
        <w:rPr>
          <w:rFonts w:ascii="Cambria Math" w:hAnsi="Cambria Math" w:cs="Cambria Math"/>
          <w:color w:val="000000" w:themeColor="text1"/>
          <w:vertAlign w:val="subscript"/>
          <w:lang w:val="en-US"/>
        </w:rPr>
        <w:t>𝑠</w:t>
      </w:r>
      <w:r w:rsidRPr="00835ACD">
        <w:rPr>
          <w:color w:val="000000" w:themeColor="text1"/>
          <w:lang w:val="en-US"/>
        </w:rPr>
        <w:t xml:space="preserve"> = (1 </w:t>
      </w:r>
      <w:r w:rsidRPr="00835ACD">
        <w:rPr>
          <w:rFonts w:eastAsia="Microsoft YaHei"/>
          <w:color w:val="000000" w:themeColor="text1"/>
          <w:lang w:val="en-US"/>
        </w:rPr>
        <w:t>−</w:t>
      </w:r>
      <w:r w:rsidRPr="00835ACD">
        <w:rPr>
          <w:color w:val="000000" w:themeColor="text1"/>
          <w:lang w:val="en-US"/>
        </w:rPr>
        <w:t xml:space="preserve"> </w:t>
      </w:r>
      <m:oMath>
        <m:r>
          <m:rPr>
            <m:sty m:val="p"/>
          </m:rPr>
          <w:rPr>
            <w:rFonts w:ascii="Cambria Math" w:hAnsi="Cambria Math"/>
            <w:color w:val="000000" w:themeColor="text1"/>
            <w:lang w:val="en-US"/>
          </w:rPr>
          <m:t>∅</m:t>
        </m:r>
      </m:oMath>
      <w:r w:rsidRPr="00835ACD">
        <w:rPr>
          <w:color w:val="000000" w:themeColor="text1"/>
          <w:lang w:val="en-US"/>
        </w:rPr>
        <w:t>|) V</w:t>
      </w:r>
      <w:r w:rsidRPr="00835ACD">
        <w:rPr>
          <w:color w:val="000000" w:themeColor="text1"/>
          <w:vertAlign w:val="subscript"/>
          <w:lang w:val="en-US"/>
        </w:rPr>
        <w:t>t</w:t>
      </w:r>
      <w:r w:rsidRPr="00835ACD">
        <w:rPr>
          <w:color w:val="000000" w:themeColor="text1"/>
          <w:lang w:val="en-US"/>
        </w:rPr>
        <w:t xml:space="preserve"> </w:t>
      </w:r>
      <w:r w:rsidR="00CB5F77" w:rsidRPr="00835ACD">
        <w:rPr>
          <w:color w:val="000000" w:themeColor="text1"/>
          <w:lang w:val="en-US"/>
        </w:rPr>
        <w:tab/>
      </w:r>
      <w:r w:rsidR="00CB5F77" w:rsidRPr="00835ACD">
        <w:rPr>
          <w:color w:val="000000" w:themeColor="text1"/>
          <w:lang w:val="en-US"/>
        </w:rPr>
        <w:tab/>
      </w:r>
      <w:r w:rsidRPr="00835ACD">
        <w:rPr>
          <w:color w:val="000000" w:themeColor="text1"/>
          <w:lang w:val="en-US"/>
        </w:rPr>
        <w:t>(</w:t>
      </w:r>
      <w:r w:rsidR="00CB5F77" w:rsidRPr="00835ACD">
        <w:rPr>
          <w:color w:val="000000" w:themeColor="text1"/>
          <w:lang w:val="en-US"/>
        </w:rPr>
        <w:t>3</w:t>
      </w:r>
      <w:r w:rsidRPr="00835ACD">
        <w:rPr>
          <w:color w:val="000000" w:themeColor="text1"/>
          <w:lang w:val="en-US"/>
        </w:rPr>
        <w:t>)</w:t>
      </w:r>
    </w:p>
    <w:p w14:paraId="5B5B6DB8" w14:textId="7029BD0F" w:rsidR="000426C2" w:rsidRPr="00835ACD" w:rsidRDefault="000426C2" w:rsidP="001113E1">
      <w:pPr>
        <w:spacing w:after="120" w:line="480" w:lineRule="auto"/>
        <w:ind w:firstLine="720"/>
        <w:jc w:val="both"/>
        <w:rPr>
          <w:color w:val="000000" w:themeColor="text1"/>
          <w:lang w:val="en-US"/>
        </w:rPr>
      </w:pPr>
      <w:r w:rsidRPr="00835ACD">
        <w:rPr>
          <w:color w:val="000000" w:themeColor="text1"/>
          <w:lang w:val="en-US"/>
        </w:rPr>
        <w:t>where V</w:t>
      </w:r>
      <w:r w:rsidRPr="00835ACD">
        <w:rPr>
          <w:color w:val="000000" w:themeColor="text1"/>
          <w:vertAlign w:val="subscript"/>
          <w:lang w:val="en-US"/>
        </w:rPr>
        <w:t>s</w:t>
      </w:r>
      <w:r w:rsidRPr="00835ACD">
        <w:rPr>
          <w:color w:val="000000" w:themeColor="text1"/>
          <w:lang w:val="en-US"/>
        </w:rPr>
        <w:t xml:space="preserve"> is the solid volume, V</w:t>
      </w:r>
      <w:r w:rsidRPr="00835ACD">
        <w:rPr>
          <w:color w:val="000000" w:themeColor="text1"/>
          <w:vertAlign w:val="subscript"/>
          <w:lang w:val="en-US"/>
        </w:rPr>
        <w:t>t</w:t>
      </w:r>
      <w:r w:rsidRPr="00835ACD">
        <w:rPr>
          <w:color w:val="000000" w:themeColor="text1"/>
          <w:lang w:val="en-US"/>
        </w:rPr>
        <w:t xml:space="preserve"> is the total volume.</w:t>
      </w:r>
    </w:p>
    <w:p w14:paraId="4D54AAB6" w14:textId="207D61E2" w:rsidR="004C545E" w:rsidRPr="00835ACD" w:rsidRDefault="004C545E" w:rsidP="001113E1">
      <w:pPr>
        <w:spacing w:after="120" w:line="480" w:lineRule="auto"/>
        <w:ind w:firstLine="720"/>
        <w:jc w:val="both"/>
        <w:rPr>
          <w:color w:val="000000" w:themeColor="text1"/>
          <w:lang w:val="en-US"/>
        </w:rPr>
      </w:pPr>
      <w:r w:rsidRPr="00835ACD">
        <w:rPr>
          <w:color w:val="000000" w:themeColor="text1"/>
          <w:lang w:val="en-US"/>
        </w:rPr>
        <w:t xml:space="preserve">To assess the uncertainties related to the porosity correction, for each layer, we calculated multiple </w:t>
      </w:r>
      <w:r w:rsidR="00350CD0" w:rsidRPr="00835ACD">
        <w:rPr>
          <w:color w:val="000000" w:themeColor="text1"/>
          <w:lang w:val="en-US"/>
        </w:rPr>
        <w:t xml:space="preserve">corrections using </w:t>
      </w:r>
      <w:r w:rsidRPr="00835ACD">
        <w:rPr>
          <w:color w:val="000000" w:themeColor="text1"/>
          <w:lang w:val="en-US"/>
        </w:rPr>
        <w:t>the whole range of sand content</w:t>
      </w:r>
      <w:r w:rsidR="00350CD0" w:rsidRPr="00835ACD">
        <w:rPr>
          <w:color w:val="000000" w:themeColor="text1"/>
          <w:lang w:val="en-US"/>
        </w:rPr>
        <w:t xml:space="preserve"> from 0 to 100%</w:t>
      </w:r>
      <w:r w:rsidRPr="00835ACD">
        <w:rPr>
          <w:color w:val="000000" w:themeColor="text1"/>
          <w:lang w:val="en-US"/>
        </w:rPr>
        <w:t xml:space="preserve"> (see Guillocheau et al., 201</w:t>
      </w:r>
      <w:r w:rsidR="006637AD">
        <w:rPr>
          <w:color w:val="000000" w:themeColor="text1"/>
          <w:lang w:val="en-US"/>
        </w:rPr>
        <w:t>1</w:t>
      </w:r>
      <w:r w:rsidRPr="00835ACD">
        <w:rPr>
          <w:color w:val="000000" w:themeColor="text1"/>
          <w:lang w:val="en-US"/>
        </w:rPr>
        <w:t xml:space="preserve"> for details).</w:t>
      </w:r>
    </w:p>
    <w:p w14:paraId="00C1766F" w14:textId="2E1C8476" w:rsidR="00325F2C" w:rsidRPr="00835ACD" w:rsidRDefault="00325F2C" w:rsidP="001113E1">
      <w:pPr>
        <w:pStyle w:val="Heading2"/>
        <w:spacing w:after="0" w:line="480" w:lineRule="auto"/>
        <w:jc w:val="both"/>
        <w:rPr>
          <w:rFonts w:cs="Times New Roman"/>
          <w:color w:val="000000" w:themeColor="text1"/>
          <w:szCs w:val="24"/>
          <w:lang w:val="en-US"/>
        </w:rPr>
      </w:pPr>
      <w:r w:rsidRPr="00835ACD">
        <w:rPr>
          <w:rFonts w:cs="Times New Roman"/>
          <w:color w:val="000000" w:themeColor="text1"/>
          <w:szCs w:val="24"/>
          <w:lang w:val="en-US"/>
        </w:rPr>
        <w:lastRenderedPageBreak/>
        <w:t>2.</w:t>
      </w:r>
      <w:r w:rsidR="00145E77" w:rsidRPr="00835ACD">
        <w:rPr>
          <w:rFonts w:cs="Times New Roman"/>
          <w:color w:val="000000" w:themeColor="text1"/>
          <w:szCs w:val="24"/>
          <w:lang w:val="en-US"/>
        </w:rPr>
        <w:t>5</w:t>
      </w:r>
      <w:r w:rsidRPr="00835ACD">
        <w:rPr>
          <w:rFonts w:cs="Times New Roman"/>
          <w:color w:val="000000" w:themeColor="text1"/>
          <w:szCs w:val="24"/>
          <w:lang w:val="en-US"/>
        </w:rPr>
        <w:t xml:space="preserve"> Calibration of horizons in absolute ages</w:t>
      </w:r>
    </w:p>
    <w:p w14:paraId="46F35FF2" w14:textId="68723280" w:rsidR="00325F2C" w:rsidRDefault="00325F2C" w:rsidP="001113E1">
      <w:pPr>
        <w:spacing w:after="120" w:line="480" w:lineRule="auto"/>
        <w:ind w:firstLine="720"/>
        <w:jc w:val="both"/>
        <w:rPr>
          <w:color w:val="000000" w:themeColor="text1"/>
          <w:lang w:val="en-US"/>
        </w:rPr>
      </w:pPr>
      <w:r w:rsidRPr="00835ACD">
        <w:rPr>
          <w:color w:val="000000" w:themeColor="text1"/>
          <w:lang w:val="en-US"/>
        </w:rPr>
        <w:t xml:space="preserve">We calibrated the stratigraphic horizon in absolute ages using available well data and the International Chronostratigraphic Chart </w:t>
      </w:r>
      <w:r w:rsidRPr="00835ACD">
        <w:rPr>
          <w:color w:val="000000" w:themeColor="text1"/>
          <w:lang w:val="en-US"/>
        </w:rPr>
        <w:fldChar w:fldCharType="begin"/>
      </w:r>
      <w:r w:rsidRPr="00835ACD">
        <w:rPr>
          <w:color w:val="000000" w:themeColor="text1"/>
          <w:lang w:val="en-US"/>
        </w:rPr>
        <w:instrText xml:space="preserve"> ADDIN EN.CITE &lt;EndNote&gt;&lt;Cite&gt;&lt;Author&gt;Cohen&lt;/Author&gt;&lt;Year&gt;2013; updated&lt;/Year&gt;&lt;RecNum&gt;1905&lt;/RecNum&gt;&lt;DisplayText&gt;(Cohen et al., 2013; updated)&lt;/DisplayText&gt;&lt;record&gt;&lt;rec-number&gt;1905&lt;/rec-number&gt;&lt;foreign-keys&gt;&lt;key app="EN" db-id="ddxw25t0qt550fezd0n5efrsxt5f5pvwpw55" timestamp="1620051885" guid="6d9be298-b272-4f7c-ac42-7ee98254d5a8"&gt;1905&lt;/key&gt;&lt;/foreign-keys&gt;&lt;ref-type name="Chart or Table"&gt;38&lt;/ref-type&gt;&lt;contributors&gt;&lt;authors&gt;&lt;author&gt;Cohen, K.M., &lt;/author&gt;&lt;author&gt;Finney, S.C., &lt;/author&gt;&lt;author&gt;Gibbard, P.L. &lt;/author&gt;&lt;author&gt;Fan, J.-X. &lt;/author&gt;&lt;/authors&gt;&lt;secondary-authors&gt;&lt;author&gt;Episodes 36&lt;/author&gt;&lt;/secondary-authors&gt;&lt;/contributors&gt;&lt;titles&gt;&lt;title&gt;The ICS International Chronostratigraphic Chart&lt;/title&gt;&lt;/titles&gt;&lt;number&gt;199-204&lt;/number&gt;&lt;dates&gt;&lt;year&gt;2013; updated&lt;/year&gt;&lt;/dates&gt;&lt;urls&gt;&lt;/urls&gt;&lt;/record&gt;&lt;/Cite&gt;&lt;/EndNote&gt;</w:instrText>
      </w:r>
      <w:r w:rsidRPr="00835ACD">
        <w:rPr>
          <w:color w:val="000000" w:themeColor="text1"/>
          <w:lang w:val="en-US"/>
        </w:rPr>
        <w:fldChar w:fldCharType="separate"/>
      </w:r>
      <w:r w:rsidRPr="00835ACD">
        <w:rPr>
          <w:noProof/>
          <w:color w:val="000000" w:themeColor="text1"/>
          <w:lang w:val="en-US"/>
        </w:rPr>
        <w:t>(Cohen et al., 2013; updated)</w:t>
      </w:r>
      <w:r w:rsidRPr="00835ACD">
        <w:rPr>
          <w:color w:val="000000" w:themeColor="text1"/>
          <w:lang w:val="en-US"/>
        </w:rPr>
        <w:fldChar w:fldCharType="end"/>
      </w:r>
      <w:r w:rsidRPr="00835ACD">
        <w:rPr>
          <w:color w:val="000000" w:themeColor="text1"/>
          <w:lang w:val="en-US"/>
        </w:rPr>
        <w:t xml:space="preserve">. To account for uncertainties associated with this calibration, we defined age ranges for each stratigraphic horizon that we used to estimate uncertainties in accumulated volumes and rates (see </w:t>
      </w:r>
      <w:r w:rsidR="00E304A3">
        <w:rPr>
          <w:color w:val="000000" w:themeColor="text1"/>
          <w:lang w:val="en-US"/>
        </w:rPr>
        <w:t>§2.6</w:t>
      </w:r>
      <w:r w:rsidRPr="00835ACD">
        <w:rPr>
          <w:color w:val="000000" w:themeColor="text1"/>
          <w:lang w:val="en-US"/>
        </w:rPr>
        <w:t>; Table S3).</w:t>
      </w:r>
    </w:p>
    <w:p w14:paraId="000842FA" w14:textId="77777777" w:rsidR="00E304A3" w:rsidRDefault="00E304A3" w:rsidP="001113E1">
      <w:pPr>
        <w:spacing w:after="120" w:line="480" w:lineRule="auto"/>
        <w:ind w:firstLine="720"/>
        <w:jc w:val="both"/>
        <w:rPr>
          <w:color w:val="000000" w:themeColor="text1"/>
          <w:lang w:val="en-US"/>
        </w:rPr>
      </w:pPr>
    </w:p>
    <w:p w14:paraId="3AA3C729" w14:textId="704F37CD" w:rsidR="000426C2" w:rsidRPr="00835ACD" w:rsidRDefault="00F31CA3" w:rsidP="001113E1">
      <w:pPr>
        <w:pStyle w:val="Heading2"/>
        <w:spacing w:after="0" w:line="480" w:lineRule="auto"/>
        <w:jc w:val="both"/>
        <w:rPr>
          <w:rFonts w:cs="Times New Roman"/>
          <w:color w:val="000000" w:themeColor="text1"/>
          <w:szCs w:val="24"/>
          <w:lang w:val="en-US"/>
        </w:rPr>
      </w:pPr>
      <w:r w:rsidRPr="00835ACD">
        <w:rPr>
          <w:rFonts w:cs="Times New Roman"/>
          <w:color w:val="000000" w:themeColor="text1"/>
          <w:szCs w:val="24"/>
          <w:lang w:val="en-US"/>
        </w:rPr>
        <w:t>2</w:t>
      </w:r>
      <w:r w:rsidR="000426C2" w:rsidRPr="00835ACD">
        <w:rPr>
          <w:rFonts w:cs="Times New Roman"/>
          <w:color w:val="000000" w:themeColor="text1"/>
          <w:szCs w:val="24"/>
          <w:lang w:val="en-US"/>
        </w:rPr>
        <w:t>.</w:t>
      </w:r>
      <w:r w:rsidR="00972541" w:rsidRPr="00835ACD">
        <w:rPr>
          <w:rFonts w:cs="Times New Roman"/>
          <w:color w:val="000000" w:themeColor="text1"/>
          <w:szCs w:val="24"/>
          <w:lang w:val="en-US"/>
        </w:rPr>
        <w:t>6</w:t>
      </w:r>
      <w:r w:rsidR="000426C2" w:rsidRPr="00835ACD">
        <w:rPr>
          <w:rFonts w:cs="Times New Roman"/>
          <w:color w:val="000000" w:themeColor="text1"/>
          <w:szCs w:val="24"/>
          <w:lang w:val="en-US"/>
        </w:rPr>
        <w:t xml:space="preserve"> </w:t>
      </w:r>
      <w:r w:rsidR="00FE2482" w:rsidRPr="00835ACD">
        <w:rPr>
          <w:rFonts w:cs="Times New Roman"/>
          <w:color w:val="000000" w:themeColor="text1"/>
          <w:szCs w:val="24"/>
          <w:lang w:val="en-US"/>
        </w:rPr>
        <w:t>Estimation of u</w:t>
      </w:r>
      <w:r w:rsidR="000426C2" w:rsidRPr="00835ACD">
        <w:rPr>
          <w:rFonts w:cs="Times New Roman"/>
          <w:color w:val="000000" w:themeColor="text1"/>
          <w:szCs w:val="24"/>
          <w:lang w:val="en-US"/>
        </w:rPr>
        <w:t>ncertainties</w:t>
      </w:r>
    </w:p>
    <w:p w14:paraId="51906A3B" w14:textId="59FD4EC5" w:rsidR="000426C2" w:rsidRPr="00835ACD" w:rsidRDefault="00C81396" w:rsidP="001113E1">
      <w:pPr>
        <w:spacing w:after="120" w:line="480" w:lineRule="auto"/>
        <w:ind w:firstLine="720"/>
        <w:jc w:val="both"/>
        <w:rPr>
          <w:color w:val="000000" w:themeColor="text1"/>
          <w:lang w:val="en-US"/>
        </w:rPr>
      </w:pPr>
      <w:r w:rsidRPr="00835ACD">
        <w:rPr>
          <w:color w:val="000000" w:themeColor="text1"/>
          <w:lang w:val="en-US"/>
        </w:rPr>
        <w:t>Following the method Guillocheau et al. (201</w:t>
      </w:r>
      <w:r w:rsidR="006637AD">
        <w:rPr>
          <w:color w:val="000000" w:themeColor="text1"/>
          <w:lang w:val="en-US"/>
        </w:rPr>
        <w:t>1</w:t>
      </w:r>
      <w:r w:rsidRPr="00835ACD">
        <w:rPr>
          <w:color w:val="000000" w:themeColor="text1"/>
          <w:lang w:val="en-US"/>
        </w:rPr>
        <w:t>), w</w:t>
      </w:r>
      <w:r w:rsidR="000426C2" w:rsidRPr="00835ACD">
        <w:rPr>
          <w:color w:val="000000" w:themeColor="text1"/>
          <w:lang w:val="en-US"/>
        </w:rPr>
        <w:t xml:space="preserve">e estimated uncertainties in the calculation solid volumes and rates using a Monte Carlo simulation </w:t>
      </w:r>
      <w:r w:rsidR="00DA75B2" w:rsidRPr="00835ACD">
        <w:rPr>
          <w:color w:val="000000" w:themeColor="text1"/>
          <w:lang w:val="en-US"/>
        </w:rPr>
        <w:t xml:space="preserve">assessing the </w:t>
      </w:r>
      <w:r w:rsidR="00FE2482" w:rsidRPr="00835ACD">
        <w:rPr>
          <w:color w:val="000000" w:themeColor="text1"/>
          <w:lang w:val="en-US"/>
        </w:rPr>
        <w:t>variability of the accumulated volumes and rates resulting from:</w:t>
      </w:r>
      <w:r w:rsidR="00DB5DF2" w:rsidRPr="00835ACD">
        <w:rPr>
          <w:color w:val="000000" w:themeColor="text1"/>
          <w:lang w:val="en-US"/>
        </w:rPr>
        <w:t xml:space="preserve"> </w:t>
      </w:r>
      <w:r w:rsidR="000426C2" w:rsidRPr="00835ACD">
        <w:rPr>
          <w:color w:val="000000" w:themeColor="text1"/>
          <w:lang w:val="en-US"/>
        </w:rPr>
        <w:t xml:space="preserve">(i) uncertainties </w:t>
      </w:r>
      <w:r w:rsidR="00FE2482" w:rsidRPr="00835ACD">
        <w:rPr>
          <w:color w:val="000000" w:themeColor="text1"/>
          <w:lang w:val="en-US"/>
        </w:rPr>
        <w:t>in</w:t>
      </w:r>
      <w:r w:rsidR="000426C2" w:rsidRPr="00835ACD">
        <w:rPr>
          <w:color w:val="000000" w:themeColor="text1"/>
          <w:lang w:val="en-US"/>
        </w:rPr>
        <w:t xml:space="preserve"> the calibration </w:t>
      </w:r>
      <w:r w:rsidR="00FE2482" w:rsidRPr="00835ACD">
        <w:rPr>
          <w:color w:val="000000" w:themeColor="text1"/>
          <w:lang w:val="en-US"/>
        </w:rPr>
        <w:t>of horizon i</w:t>
      </w:r>
      <w:r w:rsidR="000426C2" w:rsidRPr="00835ACD">
        <w:rPr>
          <w:color w:val="000000" w:themeColor="text1"/>
          <w:lang w:val="en-US"/>
        </w:rPr>
        <w:t>n absolute ages (Table S</w:t>
      </w:r>
      <w:r w:rsidR="00E304A3">
        <w:rPr>
          <w:color w:val="000000" w:themeColor="text1"/>
          <w:lang w:val="en-US"/>
        </w:rPr>
        <w:t>4</w:t>
      </w:r>
      <w:r w:rsidR="000426C2" w:rsidRPr="00835ACD">
        <w:rPr>
          <w:color w:val="000000" w:themeColor="text1"/>
          <w:lang w:val="en-US"/>
        </w:rPr>
        <w:t>)</w:t>
      </w:r>
      <w:r w:rsidR="00225A22" w:rsidRPr="00835ACD">
        <w:rPr>
          <w:color w:val="000000" w:themeColor="text1"/>
          <w:lang w:val="en-US"/>
        </w:rPr>
        <w:t>;</w:t>
      </w:r>
      <w:r w:rsidR="00DB5DF2" w:rsidRPr="00835ACD">
        <w:rPr>
          <w:color w:val="000000" w:themeColor="text1"/>
          <w:lang w:val="en-US"/>
        </w:rPr>
        <w:t xml:space="preserve"> </w:t>
      </w:r>
      <w:r w:rsidR="000426C2" w:rsidRPr="00835ACD">
        <w:rPr>
          <w:color w:val="000000" w:themeColor="text1"/>
          <w:lang w:val="en-US"/>
        </w:rPr>
        <w:t xml:space="preserve">(ii) uncertainties </w:t>
      </w:r>
      <w:r w:rsidR="00FE2482" w:rsidRPr="00835ACD">
        <w:rPr>
          <w:color w:val="000000" w:themeColor="text1"/>
          <w:lang w:val="en-US"/>
        </w:rPr>
        <w:t>in the</w:t>
      </w:r>
      <w:r w:rsidR="000426C2" w:rsidRPr="00835ACD">
        <w:rPr>
          <w:color w:val="000000" w:themeColor="text1"/>
          <w:lang w:val="en-US"/>
        </w:rPr>
        <w:t xml:space="preserve"> depth conversion of horizon</w:t>
      </w:r>
      <w:r w:rsidR="00FE2482" w:rsidRPr="00835ACD">
        <w:rPr>
          <w:color w:val="000000" w:themeColor="text1"/>
          <w:lang w:val="en-US"/>
        </w:rPr>
        <w:t>s</w:t>
      </w:r>
      <w:r w:rsidR="00E304A3">
        <w:rPr>
          <w:color w:val="000000" w:themeColor="text1"/>
          <w:lang w:val="en-US"/>
        </w:rPr>
        <w:t xml:space="preserve"> (Table S2)</w:t>
      </w:r>
      <w:r w:rsidR="00225A22" w:rsidRPr="00835ACD">
        <w:rPr>
          <w:color w:val="000000" w:themeColor="text1"/>
          <w:lang w:val="en-US"/>
        </w:rPr>
        <w:t>;</w:t>
      </w:r>
      <w:r w:rsidR="00DB5DF2" w:rsidRPr="00835ACD">
        <w:rPr>
          <w:color w:val="000000" w:themeColor="text1"/>
          <w:lang w:val="en-US"/>
        </w:rPr>
        <w:t xml:space="preserve"> </w:t>
      </w:r>
      <w:r w:rsidR="000426C2" w:rsidRPr="00835ACD">
        <w:rPr>
          <w:color w:val="000000" w:themeColor="text1"/>
          <w:lang w:val="en-US"/>
        </w:rPr>
        <w:t xml:space="preserve">(iii) uncertainties </w:t>
      </w:r>
      <w:r w:rsidR="00225A22" w:rsidRPr="00835ACD">
        <w:rPr>
          <w:color w:val="000000" w:themeColor="text1"/>
          <w:lang w:val="en-US"/>
        </w:rPr>
        <w:t>in</w:t>
      </w:r>
      <w:r w:rsidR="000426C2" w:rsidRPr="00835ACD">
        <w:rPr>
          <w:color w:val="000000" w:themeColor="text1"/>
          <w:lang w:val="en-US"/>
        </w:rPr>
        <w:t xml:space="preserve"> </w:t>
      </w:r>
      <w:r w:rsidR="00225A22" w:rsidRPr="00835ACD">
        <w:rPr>
          <w:color w:val="000000" w:themeColor="text1"/>
          <w:lang w:val="en-US"/>
        </w:rPr>
        <w:t xml:space="preserve">the </w:t>
      </w:r>
      <w:r w:rsidR="000426C2" w:rsidRPr="00835ACD">
        <w:rPr>
          <w:color w:val="000000" w:themeColor="text1"/>
          <w:lang w:val="en-US"/>
        </w:rPr>
        <w:t>correction for carbonate content of each time intervals (Fig.</w:t>
      </w:r>
      <w:r w:rsidR="00225A22" w:rsidRPr="00835ACD">
        <w:rPr>
          <w:color w:val="000000" w:themeColor="text1"/>
          <w:lang w:val="en-US"/>
        </w:rPr>
        <w:t xml:space="preserve"> </w:t>
      </w:r>
      <w:r w:rsidR="000426C2" w:rsidRPr="00835ACD">
        <w:rPr>
          <w:color w:val="000000" w:themeColor="text1"/>
          <w:lang w:val="en-US"/>
        </w:rPr>
        <w:t>S</w:t>
      </w:r>
      <w:r w:rsidR="00225A22" w:rsidRPr="00835ACD">
        <w:rPr>
          <w:color w:val="000000" w:themeColor="text1"/>
          <w:lang w:val="en-US"/>
        </w:rPr>
        <w:t>4</w:t>
      </w:r>
      <w:r w:rsidR="00643A6E" w:rsidRPr="00835ACD">
        <w:rPr>
          <w:color w:val="000000" w:themeColor="text1"/>
          <w:lang w:val="en-US"/>
        </w:rPr>
        <w:t>; Table S</w:t>
      </w:r>
      <w:r w:rsidR="00E304A3">
        <w:rPr>
          <w:color w:val="000000" w:themeColor="text1"/>
          <w:lang w:val="en-US"/>
        </w:rPr>
        <w:t>3</w:t>
      </w:r>
      <w:r w:rsidR="000426C2" w:rsidRPr="00835ACD">
        <w:rPr>
          <w:color w:val="000000" w:themeColor="text1"/>
          <w:lang w:val="en-US"/>
        </w:rPr>
        <w:t>)</w:t>
      </w:r>
      <w:r w:rsidR="00BE31CE" w:rsidRPr="00835ACD">
        <w:rPr>
          <w:color w:val="000000" w:themeColor="text1"/>
          <w:lang w:val="en-US"/>
        </w:rPr>
        <w:t xml:space="preserve"> and the uncertainties related to the porosity correction</w:t>
      </w:r>
      <w:r w:rsidR="00350CD0" w:rsidRPr="00835ACD">
        <w:rPr>
          <w:color w:val="000000" w:themeColor="text1"/>
          <w:lang w:val="en-US"/>
        </w:rPr>
        <w:t xml:space="preserve"> (§2.5)</w:t>
      </w:r>
      <w:r w:rsidR="000426C2" w:rsidRPr="00835ACD">
        <w:rPr>
          <w:color w:val="000000" w:themeColor="text1"/>
          <w:lang w:val="en-US"/>
        </w:rPr>
        <w:t>.</w:t>
      </w:r>
      <w:r w:rsidR="00DB5DF2" w:rsidRPr="00835ACD">
        <w:rPr>
          <w:color w:val="000000" w:themeColor="text1"/>
          <w:lang w:val="en-US"/>
        </w:rPr>
        <w:t xml:space="preserve"> </w:t>
      </w:r>
      <w:r w:rsidR="00225A22" w:rsidRPr="00835ACD">
        <w:rPr>
          <w:color w:val="000000" w:themeColor="text1"/>
          <w:lang w:val="en-US"/>
        </w:rPr>
        <w:t xml:space="preserve">These </w:t>
      </w:r>
      <w:r w:rsidR="000426C2" w:rsidRPr="00835ACD">
        <w:rPr>
          <w:color w:val="000000" w:themeColor="text1"/>
          <w:lang w:val="en-US"/>
        </w:rPr>
        <w:t>uncertainties are shown in Table S</w:t>
      </w:r>
      <w:r w:rsidR="00F15F8E" w:rsidRPr="00835ACD">
        <w:rPr>
          <w:color w:val="000000" w:themeColor="text1"/>
          <w:lang w:val="en-US"/>
        </w:rPr>
        <w:t>5</w:t>
      </w:r>
      <w:r w:rsidR="000426C2" w:rsidRPr="00835ACD">
        <w:rPr>
          <w:color w:val="000000" w:themeColor="text1"/>
          <w:lang w:val="en-US"/>
        </w:rPr>
        <w:t xml:space="preserve"> </w:t>
      </w:r>
      <w:r w:rsidR="00E304A3">
        <w:rPr>
          <w:color w:val="000000" w:themeColor="text1"/>
          <w:lang w:val="en-US"/>
        </w:rPr>
        <w:t>along with accumulation volumes and rates</w:t>
      </w:r>
      <w:r w:rsidR="000426C2" w:rsidRPr="00835ACD">
        <w:rPr>
          <w:color w:val="000000" w:themeColor="text1"/>
          <w:lang w:val="en-US"/>
        </w:rPr>
        <w:t xml:space="preserve"> and by the error bars on Figure 4.</w:t>
      </w:r>
    </w:p>
    <w:p w14:paraId="607DDEB3" w14:textId="2AA599B8" w:rsidR="00A25B73" w:rsidRPr="00835ACD" w:rsidRDefault="00A25B73" w:rsidP="001113E1">
      <w:pPr>
        <w:autoSpaceDE w:val="0"/>
        <w:autoSpaceDN w:val="0"/>
        <w:adjustRightInd w:val="0"/>
        <w:spacing w:after="120" w:line="480" w:lineRule="auto"/>
        <w:ind w:firstLine="720"/>
        <w:jc w:val="both"/>
        <w:rPr>
          <w:color w:val="000000"/>
          <w:lang w:val="en-US" w:eastAsia="zh-CN"/>
        </w:rPr>
      </w:pPr>
      <w:r w:rsidRPr="00835ACD">
        <w:rPr>
          <w:color w:val="000000"/>
          <w:lang w:val="en-US" w:eastAsia="zh-CN"/>
        </w:rPr>
        <w:t>Uncertainties associated with the accumulation calculation vary from ± 0.1 to ± 5.0 10</w:t>
      </w:r>
      <w:r w:rsidRPr="00835ACD">
        <w:rPr>
          <w:color w:val="000000"/>
          <w:vertAlign w:val="superscript"/>
          <w:lang w:val="en-US" w:eastAsia="zh-CN"/>
        </w:rPr>
        <w:t>3</w:t>
      </w:r>
      <w:r w:rsidRPr="00835ACD">
        <w:rPr>
          <w:color w:val="000000"/>
          <w:lang w:val="en-US" w:eastAsia="zh-CN"/>
        </w:rPr>
        <w:t xml:space="preserve"> km</w:t>
      </w:r>
      <w:r w:rsidRPr="00835ACD">
        <w:rPr>
          <w:color w:val="000000"/>
          <w:vertAlign w:val="superscript"/>
          <w:lang w:val="en-US" w:eastAsia="zh-CN"/>
        </w:rPr>
        <w:t>3</w:t>
      </w:r>
      <w:r w:rsidRPr="00835ACD">
        <w:rPr>
          <w:color w:val="000000"/>
          <w:lang w:val="en-US" w:eastAsia="zh-CN"/>
        </w:rPr>
        <w:t xml:space="preserve">/Myr (Table S5). They are highest for short </w:t>
      </w:r>
      <w:r w:rsidR="0037514F">
        <w:rPr>
          <w:color w:val="000000"/>
          <w:lang w:val="en-US" w:eastAsia="zh-CN"/>
        </w:rPr>
        <w:t xml:space="preserve">duration </w:t>
      </w:r>
      <w:r w:rsidRPr="00835ACD">
        <w:rPr>
          <w:color w:val="000000"/>
          <w:lang w:val="en-US" w:eastAsia="zh-CN"/>
        </w:rPr>
        <w:t>accumulation maxima (e.g., c. 6-0 Ma in the FOZ basin; Fig. 4G). Accumulation rates tend to be higher for short time intervals (Figs. 4E, 4F, and 4H) and this could partly result from more frequent and longer hiatuses likely to be incorporated during longer time intervals (Sadler, 1999). To test for this effect, we resampled accumulation rates for five intervals in both the GS and FOZ basins and showed that the Cretaceous trends are preserved in the resampled rates (Figs. 4E and 4F).</w:t>
      </w:r>
    </w:p>
    <w:p w14:paraId="0EDD8383" w14:textId="77777777" w:rsidR="001113E1" w:rsidRDefault="001113E1" w:rsidP="001113E1">
      <w:pPr>
        <w:pStyle w:val="Heading1"/>
        <w:spacing w:after="0" w:line="480" w:lineRule="auto"/>
        <w:ind w:left="142"/>
        <w:rPr>
          <w:rFonts w:cs="Times New Roman"/>
          <w:color w:val="000000" w:themeColor="text1"/>
          <w:sz w:val="24"/>
          <w:szCs w:val="24"/>
          <w:lang w:val="en-US"/>
        </w:rPr>
      </w:pPr>
    </w:p>
    <w:p w14:paraId="3E1EC58C" w14:textId="7296663F" w:rsidR="00BC4BFF" w:rsidRPr="00835ACD" w:rsidRDefault="00835ACD" w:rsidP="001113E1">
      <w:pPr>
        <w:pStyle w:val="Heading1"/>
        <w:spacing w:after="0" w:line="480" w:lineRule="auto"/>
        <w:ind w:left="142"/>
        <w:rPr>
          <w:rFonts w:cs="Times New Roman"/>
          <w:color w:val="000000" w:themeColor="text1"/>
          <w:sz w:val="24"/>
          <w:szCs w:val="24"/>
          <w:lang w:val="en-US"/>
        </w:rPr>
      </w:pPr>
      <w:r w:rsidRPr="00835ACD">
        <w:rPr>
          <w:rFonts w:cs="Times New Roman"/>
          <w:color w:val="000000" w:themeColor="text1"/>
          <w:sz w:val="24"/>
          <w:szCs w:val="24"/>
          <w:lang w:val="en-US"/>
        </w:rPr>
        <w:t>3. PALEO-ENVIRONMENTS AND PALEO-LITHOLOGIES MAPS</w:t>
      </w:r>
    </w:p>
    <w:p w14:paraId="27BFE7C5" w14:textId="4A2D485E" w:rsidR="00F46EAB" w:rsidRPr="00835ACD" w:rsidRDefault="00A61F15" w:rsidP="001113E1">
      <w:pPr>
        <w:spacing w:after="120" w:line="480" w:lineRule="auto"/>
        <w:ind w:firstLine="708"/>
        <w:jc w:val="both"/>
        <w:rPr>
          <w:color w:val="000000" w:themeColor="text1"/>
          <w:lang w:val="en-US"/>
        </w:rPr>
      </w:pPr>
      <w:r w:rsidRPr="00835ACD">
        <w:rPr>
          <w:color w:val="000000" w:themeColor="text1"/>
          <w:lang w:val="en-US"/>
        </w:rPr>
        <w:t>To map the depositional environments at the scale of the study area, we use</w:t>
      </w:r>
      <w:r w:rsidR="004513EA" w:rsidRPr="00835ACD">
        <w:rPr>
          <w:color w:val="000000" w:themeColor="text1"/>
          <w:lang w:val="en-US"/>
        </w:rPr>
        <w:t>d</w:t>
      </w:r>
      <w:r w:rsidRPr="00835ACD">
        <w:rPr>
          <w:color w:val="000000" w:themeColor="text1"/>
          <w:lang w:val="en-US"/>
        </w:rPr>
        <w:t xml:space="preserve"> the </w:t>
      </w:r>
      <w:r w:rsidR="004513EA" w:rsidRPr="00835ACD">
        <w:rPr>
          <w:color w:val="000000" w:themeColor="text1"/>
          <w:lang w:val="en-US"/>
        </w:rPr>
        <w:t xml:space="preserve">framework of the continent scale </w:t>
      </w:r>
      <w:r w:rsidRPr="00835ACD">
        <w:rPr>
          <w:color w:val="000000" w:themeColor="text1"/>
          <w:lang w:val="en-US"/>
        </w:rPr>
        <w:t xml:space="preserve">paleo-geologic </w:t>
      </w:r>
      <w:r w:rsidR="004513EA" w:rsidRPr="00835ACD">
        <w:rPr>
          <w:color w:val="000000" w:themeColor="text1"/>
          <w:lang w:val="en-US"/>
        </w:rPr>
        <w:t xml:space="preserve">maps </w:t>
      </w:r>
      <w:r w:rsidRPr="00835ACD">
        <w:rPr>
          <w:color w:val="000000" w:themeColor="text1"/>
          <w:lang w:val="en-US"/>
        </w:rPr>
        <w:t>of Ye et al. (2017) and Bajolet et al. (</w:t>
      </w:r>
      <w:r w:rsidR="00972EE5" w:rsidRPr="00835ACD">
        <w:rPr>
          <w:color w:val="000000" w:themeColor="text1"/>
          <w:lang w:val="en-US"/>
        </w:rPr>
        <w:t>submitted</w:t>
      </w:r>
      <w:r w:rsidR="004513EA" w:rsidRPr="00835ACD">
        <w:rPr>
          <w:color w:val="000000" w:themeColor="text1"/>
          <w:lang w:val="en-US"/>
        </w:rPr>
        <w:t xml:space="preserve">; Fig. </w:t>
      </w:r>
      <w:r w:rsidR="0037514F">
        <w:rPr>
          <w:color w:val="000000" w:themeColor="text1"/>
          <w:lang w:val="en-US"/>
        </w:rPr>
        <w:t>6</w:t>
      </w:r>
      <w:r w:rsidRPr="00835ACD">
        <w:rPr>
          <w:color w:val="000000" w:themeColor="text1"/>
          <w:lang w:val="en-US"/>
        </w:rPr>
        <w:t>). Th</w:t>
      </w:r>
      <w:r w:rsidR="004513EA" w:rsidRPr="00835ACD">
        <w:rPr>
          <w:color w:val="000000" w:themeColor="text1"/>
          <w:lang w:val="en-US"/>
        </w:rPr>
        <w:t>ese</w:t>
      </w:r>
      <w:r w:rsidRPr="00835ACD">
        <w:rPr>
          <w:color w:val="000000" w:themeColor="text1"/>
          <w:lang w:val="en-US"/>
        </w:rPr>
        <w:t xml:space="preserve"> includes sedimentary paleoenvironments, active faults, magmatic </w:t>
      </w:r>
      <w:r w:rsidR="009C1CA0" w:rsidRPr="00835ACD">
        <w:rPr>
          <w:color w:val="000000" w:themeColor="text1"/>
          <w:lang w:val="en-US"/>
        </w:rPr>
        <w:t>occurrences</w:t>
      </w:r>
      <w:r w:rsidRPr="00835ACD">
        <w:rPr>
          <w:color w:val="000000" w:themeColor="text1"/>
          <w:lang w:val="en-US"/>
        </w:rPr>
        <w:t xml:space="preserve">, paleocurrents, </w:t>
      </w:r>
      <w:r w:rsidR="005053E3" w:rsidRPr="00835ACD">
        <w:rPr>
          <w:color w:val="000000" w:themeColor="text1"/>
          <w:lang w:val="en-US"/>
        </w:rPr>
        <w:t xml:space="preserve">heating or cooling </w:t>
      </w:r>
      <w:r w:rsidRPr="00835ACD">
        <w:rPr>
          <w:color w:val="000000" w:themeColor="text1"/>
          <w:lang w:val="en-US"/>
        </w:rPr>
        <w:t>from low-temperature thermochronology</w:t>
      </w:r>
      <w:r w:rsidR="005053E3" w:rsidRPr="00835ACD">
        <w:rPr>
          <w:color w:val="000000" w:themeColor="text1"/>
          <w:lang w:val="en-US"/>
        </w:rPr>
        <w:t xml:space="preserve">, </w:t>
      </w:r>
      <w:r w:rsidRPr="00835ACD">
        <w:rPr>
          <w:color w:val="000000" w:themeColor="text1"/>
          <w:lang w:val="en-US"/>
        </w:rPr>
        <w:t>source areas of sediments (provenance analyses by means of detrital geochronology heavy minerals associations studies)</w:t>
      </w:r>
      <w:r w:rsidR="005053E3" w:rsidRPr="00835ACD">
        <w:rPr>
          <w:color w:val="000000" w:themeColor="text1"/>
          <w:lang w:val="en-US"/>
        </w:rPr>
        <w:t xml:space="preserve"> or </w:t>
      </w:r>
      <w:r w:rsidRPr="00835ACD">
        <w:rPr>
          <w:color w:val="000000" w:themeColor="text1"/>
          <w:lang w:val="en-US"/>
        </w:rPr>
        <w:t>reported bauxite/laterite occurrences (</w:t>
      </w:r>
      <w:r w:rsidR="005053E3" w:rsidRPr="00835ACD">
        <w:rPr>
          <w:color w:val="000000" w:themeColor="text1"/>
          <w:lang w:val="en-US"/>
        </w:rPr>
        <w:t xml:space="preserve">see Bajolet et al. </w:t>
      </w:r>
      <w:r w:rsidR="0037514F">
        <w:rPr>
          <w:color w:val="000000" w:themeColor="text1"/>
          <w:lang w:val="en-US"/>
        </w:rPr>
        <w:t>submitted</w:t>
      </w:r>
      <w:r w:rsidR="005053E3" w:rsidRPr="00835ACD">
        <w:rPr>
          <w:color w:val="000000" w:themeColor="text1"/>
          <w:lang w:val="en-US"/>
        </w:rPr>
        <w:t xml:space="preserve"> and references therein</w:t>
      </w:r>
      <w:r w:rsidR="00FF37F0" w:rsidRPr="00835ACD">
        <w:rPr>
          <w:color w:val="000000" w:themeColor="text1"/>
          <w:lang w:val="en-US"/>
        </w:rPr>
        <w:t>)</w:t>
      </w:r>
      <w:r w:rsidR="00F642E1" w:rsidRPr="00835ACD">
        <w:rPr>
          <w:color w:val="000000" w:themeColor="text1"/>
          <w:lang w:val="en-US"/>
        </w:rPr>
        <w:t>.</w:t>
      </w:r>
      <w:r w:rsidR="00FF37F0" w:rsidRPr="00835ACD">
        <w:rPr>
          <w:color w:val="000000" w:themeColor="text1"/>
          <w:lang w:val="en-US"/>
        </w:rPr>
        <w:t xml:space="preserve"> Sedimentary paleoenvironments are represented by the area of preserved deposits and the minimal areal extent beyond that preserved area at the period of deposition (light colored</w:t>
      </w:r>
      <w:r w:rsidR="004513EA" w:rsidRPr="00835ACD">
        <w:rPr>
          <w:color w:val="000000" w:themeColor="text1"/>
          <w:lang w:val="en-US"/>
        </w:rPr>
        <w:t xml:space="preserve">; Fig. </w:t>
      </w:r>
      <w:r w:rsidR="0037514F">
        <w:rPr>
          <w:color w:val="000000" w:themeColor="text1"/>
          <w:lang w:val="en-US"/>
        </w:rPr>
        <w:t>6</w:t>
      </w:r>
      <w:r w:rsidR="00FF37F0" w:rsidRPr="00835ACD">
        <w:rPr>
          <w:color w:val="000000" w:themeColor="text1"/>
          <w:lang w:val="en-US"/>
        </w:rPr>
        <w:t xml:space="preserve">). The minimal extent is estimated following the method of Ye et al. (2017) from the mean regional slopes of cratonic and marginal basins and the mean denudation rates given by thermochronology (c. 10m/Ma). </w:t>
      </w:r>
      <w:r w:rsidR="005053E3" w:rsidRPr="00835ACD">
        <w:rPr>
          <w:color w:val="000000" w:themeColor="text1"/>
          <w:lang w:val="en-US"/>
        </w:rPr>
        <w:t>P</w:t>
      </w:r>
      <w:r w:rsidRPr="00835ACD">
        <w:rPr>
          <w:color w:val="000000" w:themeColor="text1"/>
          <w:lang w:val="en-US"/>
        </w:rPr>
        <w:t xml:space="preserve">late boundary configurations and kinematics is compiled </w:t>
      </w:r>
      <w:r w:rsidR="00972EE5" w:rsidRPr="00835ACD">
        <w:rPr>
          <w:color w:val="000000" w:themeColor="text1"/>
          <w:lang w:val="en-US"/>
        </w:rPr>
        <w:t>for</w:t>
      </w:r>
      <w:r w:rsidR="005053E3" w:rsidRPr="00835ACD">
        <w:rPr>
          <w:color w:val="000000" w:themeColor="text1"/>
          <w:lang w:val="en-US"/>
        </w:rPr>
        <w:t xml:space="preserve"> the end of the considered time </w:t>
      </w:r>
      <w:r w:rsidR="00334310" w:rsidRPr="00835ACD">
        <w:rPr>
          <w:color w:val="000000" w:themeColor="text1"/>
          <w:lang w:val="en-US"/>
        </w:rPr>
        <w:t>interval</w:t>
      </w:r>
      <w:r w:rsidR="005053E3" w:rsidRPr="00835ACD">
        <w:rPr>
          <w:color w:val="000000" w:themeColor="text1"/>
          <w:lang w:val="en-US"/>
        </w:rPr>
        <w:t xml:space="preserve"> in</w:t>
      </w:r>
      <w:r w:rsidR="00334310" w:rsidRPr="00835ACD">
        <w:rPr>
          <w:color w:val="000000" w:themeColor="text1"/>
          <w:lang w:val="en-US"/>
        </w:rPr>
        <w:t xml:space="preserve"> a</w:t>
      </w:r>
      <w:r w:rsidR="005053E3" w:rsidRPr="00835ACD">
        <w:rPr>
          <w:color w:val="000000" w:themeColor="text1"/>
          <w:lang w:val="en-US"/>
        </w:rPr>
        <w:t xml:space="preserve"> fixed South America reference frame </w:t>
      </w:r>
      <w:r w:rsidRPr="00835ACD">
        <w:rPr>
          <w:color w:val="000000" w:themeColor="text1"/>
          <w:lang w:val="en-US"/>
        </w:rPr>
        <w:t>(</w:t>
      </w:r>
      <w:r w:rsidR="005053E3" w:rsidRPr="00835ACD">
        <w:rPr>
          <w:color w:val="000000" w:themeColor="text1"/>
          <w:lang w:val="en-US"/>
        </w:rPr>
        <w:t xml:space="preserve">see Bajolet et al. </w:t>
      </w:r>
      <w:r w:rsidR="00972EE5" w:rsidRPr="00835ACD">
        <w:rPr>
          <w:color w:val="000000" w:themeColor="text1"/>
          <w:lang w:val="en-US"/>
        </w:rPr>
        <w:t>submitted</w:t>
      </w:r>
      <w:r w:rsidR="005053E3" w:rsidRPr="00835ACD">
        <w:rPr>
          <w:color w:val="000000" w:themeColor="text1"/>
          <w:lang w:val="en-US"/>
        </w:rPr>
        <w:t xml:space="preserve"> and references therein</w:t>
      </w:r>
      <w:r w:rsidRPr="00835ACD">
        <w:rPr>
          <w:color w:val="000000" w:themeColor="text1"/>
          <w:lang w:val="en-US"/>
        </w:rPr>
        <w:t>). The African and offshore Atlantic margin paleogeography and kinematics are after Ye et al. (2017 and references therein).</w:t>
      </w:r>
      <w:r w:rsidR="00CF5FA9" w:rsidRPr="00835ACD">
        <w:rPr>
          <w:color w:val="000000" w:themeColor="text1"/>
          <w:lang w:val="en-US"/>
        </w:rPr>
        <w:t xml:space="preserve"> </w:t>
      </w:r>
    </w:p>
    <w:p w14:paraId="0C838FC3" w14:textId="314D7C2B" w:rsidR="00316D1A" w:rsidRPr="00835ACD" w:rsidRDefault="0037514F" w:rsidP="001113E1">
      <w:pPr>
        <w:spacing w:after="120" w:line="480" w:lineRule="auto"/>
        <w:ind w:firstLine="708"/>
        <w:jc w:val="both"/>
        <w:rPr>
          <w:color w:val="000000" w:themeColor="text1"/>
          <w:lang w:val="en-US"/>
        </w:rPr>
      </w:pPr>
      <w:r>
        <w:rPr>
          <w:color w:val="000000" w:themeColor="text1"/>
          <w:lang w:val="en-US"/>
        </w:rPr>
        <w:t>F</w:t>
      </w:r>
      <w:r w:rsidR="00010E73" w:rsidRPr="00835ACD">
        <w:rPr>
          <w:color w:val="000000" w:themeColor="text1"/>
          <w:lang w:val="en-US"/>
        </w:rPr>
        <w:t xml:space="preserve">rom </w:t>
      </w:r>
      <w:r w:rsidR="00316D1A" w:rsidRPr="00835ACD">
        <w:rPr>
          <w:color w:val="000000" w:themeColor="text1"/>
          <w:lang w:val="en-US"/>
        </w:rPr>
        <w:t>seismic facies</w:t>
      </w:r>
      <w:r>
        <w:rPr>
          <w:color w:val="000000" w:themeColor="text1"/>
          <w:lang w:val="en-US"/>
        </w:rPr>
        <w:t>,</w:t>
      </w:r>
      <w:r w:rsidR="00316D1A" w:rsidRPr="00835ACD">
        <w:rPr>
          <w:color w:val="000000" w:themeColor="text1"/>
          <w:lang w:val="en-US"/>
        </w:rPr>
        <w:t xml:space="preserve"> </w:t>
      </w:r>
      <w:r>
        <w:rPr>
          <w:color w:val="000000" w:themeColor="text1"/>
          <w:lang w:val="en-US"/>
        </w:rPr>
        <w:t>w</w:t>
      </w:r>
      <w:r w:rsidR="00316D1A" w:rsidRPr="00835ACD">
        <w:rPr>
          <w:color w:val="000000" w:themeColor="text1"/>
          <w:lang w:val="en-US"/>
        </w:rPr>
        <w:t xml:space="preserve">e mapped </w:t>
      </w:r>
      <w:r w:rsidR="00010E73" w:rsidRPr="00835ACD">
        <w:rPr>
          <w:color w:val="000000" w:themeColor="text1"/>
          <w:lang w:val="en-US"/>
        </w:rPr>
        <w:t>fluvial, coastal and deltaic plain facies as continental environments</w:t>
      </w:r>
      <w:r w:rsidR="009C1CA0" w:rsidRPr="00835ACD">
        <w:rPr>
          <w:color w:val="000000" w:themeColor="text1"/>
          <w:lang w:val="en-US"/>
        </w:rPr>
        <w:t>, continental platform facies as transitional, bathyal (continental slope) as shallow marine (&lt;200m) and abyssal as deep marine (&gt;200m</w:t>
      </w:r>
      <w:r w:rsidR="00010E73" w:rsidRPr="00835ACD">
        <w:rPr>
          <w:color w:val="000000" w:themeColor="text1"/>
          <w:lang w:val="en-US"/>
        </w:rPr>
        <w:t xml:space="preserve">; Fig. </w:t>
      </w:r>
      <w:r>
        <w:rPr>
          <w:color w:val="000000" w:themeColor="text1"/>
          <w:lang w:val="en-US"/>
        </w:rPr>
        <w:t>6</w:t>
      </w:r>
      <w:r w:rsidR="009C1CA0" w:rsidRPr="00835ACD">
        <w:rPr>
          <w:color w:val="000000" w:themeColor="text1"/>
          <w:lang w:val="en-US"/>
        </w:rPr>
        <w:t>).</w:t>
      </w:r>
      <w:r w:rsidR="00561346" w:rsidRPr="00835ACD">
        <w:rPr>
          <w:color w:val="000000" w:themeColor="text1"/>
          <w:lang w:val="en-US"/>
        </w:rPr>
        <w:t xml:space="preserve"> </w:t>
      </w:r>
      <w:r w:rsidR="00B85CDC" w:rsidRPr="00835ACD">
        <w:rPr>
          <w:color w:val="000000" w:themeColor="text1"/>
          <w:lang w:val="en-US"/>
        </w:rPr>
        <w:t xml:space="preserve">We mapped the shelf-break at its most distal </w:t>
      </w:r>
      <w:r w:rsidR="005B5BA9" w:rsidRPr="00835ACD">
        <w:rPr>
          <w:color w:val="000000" w:themeColor="text1"/>
          <w:lang w:val="en-US"/>
        </w:rPr>
        <w:t>location</w:t>
      </w:r>
      <w:r w:rsidR="00B85CDC" w:rsidRPr="00835ACD">
        <w:rPr>
          <w:color w:val="000000" w:themeColor="text1"/>
          <w:lang w:val="en-US"/>
        </w:rPr>
        <w:t xml:space="preserve"> during each</w:t>
      </w:r>
      <w:r w:rsidR="005B5BA9" w:rsidRPr="00835ACD">
        <w:rPr>
          <w:color w:val="000000" w:themeColor="text1"/>
          <w:lang w:val="en-US"/>
        </w:rPr>
        <w:t xml:space="preserve"> </w:t>
      </w:r>
      <w:r w:rsidR="00B85CDC" w:rsidRPr="00835ACD">
        <w:rPr>
          <w:color w:val="000000" w:themeColor="text1"/>
          <w:lang w:val="en-US"/>
        </w:rPr>
        <w:t>considered interval</w:t>
      </w:r>
      <w:r w:rsidR="005B5BA9" w:rsidRPr="00835ACD">
        <w:rPr>
          <w:color w:val="000000" w:themeColor="text1"/>
          <w:lang w:val="en-US"/>
        </w:rPr>
        <w:t>.</w:t>
      </w:r>
    </w:p>
    <w:p w14:paraId="59BEFD71" w14:textId="3FE05DE7" w:rsidR="00D91E9B" w:rsidRDefault="00985CF8" w:rsidP="001113E1">
      <w:pPr>
        <w:spacing w:after="120" w:line="480" w:lineRule="auto"/>
        <w:ind w:firstLine="708"/>
        <w:jc w:val="both"/>
        <w:rPr>
          <w:color w:val="000000" w:themeColor="text1"/>
          <w:lang w:val="en-US"/>
        </w:rPr>
      </w:pPr>
      <w:r w:rsidRPr="00835ACD">
        <w:rPr>
          <w:color w:val="000000" w:themeColor="text1"/>
          <w:lang w:val="en-US"/>
        </w:rPr>
        <w:t>W</w:t>
      </w:r>
      <w:r w:rsidR="00F46EAB" w:rsidRPr="00835ACD">
        <w:rPr>
          <w:color w:val="000000" w:themeColor="text1"/>
          <w:lang w:val="en-US"/>
        </w:rPr>
        <w:t xml:space="preserve">e </w:t>
      </w:r>
      <w:r w:rsidRPr="00835ACD">
        <w:rPr>
          <w:color w:val="000000" w:themeColor="text1"/>
          <w:lang w:val="en-US"/>
        </w:rPr>
        <w:t xml:space="preserve">also </w:t>
      </w:r>
      <w:r w:rsidR="00F46EAB" w:rsidRPr="00835ACD">
        <w:rPr>
          <w:color w:val="000000" w:themeColor="text1"/>
          <w:lang w:val="en-US"/>
        </w:rPr>
        <w:t>mapped domains of</w:t>
      </w:r>
      <w:r w:rsidR="00F46EAB" w:rsidRPr="00835ACD">
        <w:rPr>
          <w:rFonts w:eastAsiaTheme="minorEastAsia"/>
          <w:color w:val="000000" w:themeColor="text1"/>
          <w:lang w:val="en-US" w:eastAsia="zh-CN"/>
        </w:rPr>
        <w:t xml:space="preserve"> 6 dominant litholog</w:t>
      </w:r>
      <w:r w:rsidR="00F46EAB" w:rsidRPr="00835ACD">
        <w:rPr>
          <w:color w:val="000000" w:themeColor="text1"/>
          <w:lang w:val="en-US"/>
        </w:rPr>
        <w:t>ies</w:t>
      </w:r>
      <w:r w:rsidR="00F46EAB" w:rsidRPr="00835ACD">
        <w:rPr>
          <w:rFonts w:eastAsiaTheme="minorEastAsia"/>
          <w:color w:val="000000" w:themeColor="text1"/>
          <w:lang w:val="en-US" w:eastAsia="zh-CN"/>
        </w:rPr>
        <w:t xml:space="preserve">: sand (sand content &gt; 90%, usually the fluvial, coastal and deltaic plain), sand/clay (sand content &gt; 60%), clay/sand (sand content &lt; 40%), clay (sand content &lt; 10%, usually the abyssal domain), carbonates (usually the platform domain), shale (usually deposits in bathyal environment at the toe of carbonate platforms; </w:t>
      </w:r>
      <w:r w:rsidR="00F46EAB" w:rsidRPr="00835ACD">
        <w:rPr>
          <w:color w:val="000000" w:themeColor="text1"/>
          <w:lang w:val="en-US"/>
        </w:rPr>
        <w:t xml:space="preserve">Fig. </w:t>
      </w:r>
      <w:r w:rsidR="0037514F">
        <w:rPr>
          <w:color w:val="000000" w:themeColor="text1"/>
          <w:lang w:val="en-US"/>
        </w:rPr>
        <w:t>7</w:t>
      </w:r>
      <w:r w:rsidR="00F46EAB" w:rsidRPr="00835ACD">
        <w:rPr>
          <w:rFonts w:eastAsiaTheme="minorEastAsia"/>
          <w:color w:val="000000" w:themeColor="text1"/>
          <w:lang w:val="en-US" w:eastAsia="zh-CN"/>
        </w:rPr>
        <w:t>).</w:t>
      </w:r>
      <w:r w:rsidR="00CA4BE5" w:rsidRPr="00835ACD">
        <w:rPr>
          <w:color w:val="000000" w:themeColor="text1"/>
          <w:lang w:val="en-US"/>
        </w:rPr>
        <w:t xml:space="preserve"> </w:t>
      </w:r>
      <w:r w:rsidR="00DE2C47" w:rsidRPr="00835ACD">
        <w:rPr>
          <w:color w:val="000000" w:themeColor="text1"/>
          <w:lang w:val="en-US"/>
        </w:rPr>
        <w:t>For example, we mapped sand dominated deposits for chaotic and non-</w:t>
      </w:r>
      <w:r w:rsidR="00DE2C47" w:rsidRPr="00835ACD">
        <w:rPr>
          <w:color w:val="000000" w:themeColor="text1"/>
          <w:lang w:val="en-US"/>
        </w:rPr>
        <w:lastRenderedPageBreak/>
        <w:t>rectilinear facies and shale dominated for are less chaotic and better stratified facies while for carbonates, facies are highly reflective, rectilinear and stratifies.</w:t>
      </w:r>
      <w:r w:rsidR="00CA4BE5" w:rsidRPr="00835ACD">
        <w:rPr>
          <w:color w:val="000000" w:themeColor="text1"/>
          <w:lang w:val="en-US"/>
        </w:rPr>
        <w:t xml:space="preserve"> We mapped Mass Transport Deposits (MTD) </w:t>
      </w:r>
      <w:r w:rsidR="009762D4" w:rsidRPr="00835ACD">
        <w:rPr>
          <w:color w:val="000000" w:themeColor="text1"/>
          <w:lang w:val="en-US"/>
        </w:rPr>
        <w:t>for</w:t>
      </w:r>
      <w:r w:rsidR="00CA4BE5" w:rsidRPr="00835ACD">
        <w:rPr>
          <w:color w:val="000000" w:themeColor="text1"/>
          <w:lang w:val="en-US"/>
        </w:rPr>
        <w:t xml:space="preserve"> bodies bounded by unconformities</w:t>
      </w:r>
      <w:r w:rsidR="00116EA4" w:rsidRPr="00835ACD">
        <w:rPr>
          <w:color w:val="000000" w:themeColor="text1"/>
          <w:lang w:val="en-US"/>
        </w:rPr>
        <w:t>,</w:t>
      </w:r>
      <w:r w:rsidR="009762D4" w:rsidRPr="00835ACD">
        <w:rPr>
          <w:color w:val="000000" w:themeColor="text1"/>
          <w:lang w:val="en-US"/>
        </w:rPr>
        <w:t xml:space="preserve"> </w:t>
      </w:r>
      <w:r w:rsidR="00116EA4" w:rsidRPr="00835ACD">
        <w:rPr>
          <w:color w:val="000000" w:themeColor="text1"/>
          <w:lang w:val="en-US"/>
        </w:rPr>
        <w:t xml:space="preserve">located </w:t>
      </w:r>
      <w:r w:rsidR="00CA4BE5" w:rsidRPr="00835ACD">
        <w:rPr>
          <w:color w:val="000000" w:themeColor="text1"/>
          <w:lang w:val="en-US"/>
        </w:rPr>
        <w:t>at the base of the slope</w:t>
      </w:r>
      <w:r w:rsidR="00116EA4" w:rsidRPr="00835ACD">
        <w:rPr>
          <w:color w:val="000000" w:themeColor="text1"/>
          <w:lang w:val="en-US"/>
        </w:rPr>
        <w:t>s</w:t>
      </w:r>
      <w:r w:rsidR="00CA4BE5" w:rsidRPr="00835ACD">
        <w:rPr>
          <w:color w:val="000000" w:themeColor="text1"/>
          <w:lang w:val="en-US"/>
        </w:rPr>
        <w:t xml:space="preserve">, </w:t>
      </w:r>
      <w:r w:rsidR="00116EA4" w:rsidRPr="00835ACD">
        <w:rPr>
          <w:color w:val="000000" w:themeColor="text1"/>
          <w:lang w:val="en-US"/>
        </w:rPr>
        <w:t>with</w:t>
      </w:r>
      <w:r w:rsidR="00CA4BE5" w:rsidRPr="00835ACD">
        <w:rPr>
          <w:color w:val="000000" w:themeColor="text1"/>
          <w:lang w:val="en-US"/>
        </w:rPr>
        <w:t xml:space="preserve"> folded stratification</w:t>
      </w:r>
      <w:r w:rsidR="0056400C" w:rsidRPr="00835ACD">
        <w:rPr>
          <w:color w:val="000000" w:themeColor="text1"/>
          <w:lang w:val="en-US"/>
        </w:rPr>
        <w:t>s</w:t>
      </w:r>
      <w:r w:rsidR="00CA4BE5" w:rsidRPr="00835ACD">
        <w:rPr>
          <w:color w:val="000000" w:themeColor="text1"/>
          <w:lang w:val="en-US"/>
        </w:rPr>
        <w:t xml:space="preserve"> in the upper part and extension struct</w:t>
      </w:r>
      <w:r w:rsidR="001D768E" w:rsidRPr="00835ACD">
        <w:rPr>
          <w:color w:val="000000" w:themeColor="text1"/>
          <w:lang w:val="en-US"/>
        </w:rPr>
        <w:t>u</w:t>
      </w:r>
      <w:r w:rsidR="00CA4BE5" w:rsidRPr="00835ACD">
        <w:rPr>
          <w:color w:val="000000" w:themeColor="text1"/>
          <w:lang w:val="en-US"/>
        </w:rPr>
        <w:t>res in the lower part.</w:t>
      </w:r>
      <w:r w:rsidR="0056400C" w:rsidRPr="00835ACD">
        <w:rPr>
          <w:color w:val="000000" w:themeColor="text1"/>
          <w:lang w:val="en-US"/>
        </w:rPr>
        <w:t xml:space="preserve"> </w:t>
      </w:r>
      <w:r w:rsidR="009762D4" w:rsidRPr="00835ACD">
        <w:rPr>
          <w:color w:val="000000" w:themeColor="text1"/>
          <w:lang w:val="en-US"/>
        </w:rPr>
        <w:t>Turbiditic systems show channel/level, lobes at the distal end of channel and canyon at the proximal end with strong reflectance and erosive bases</w:t>
      </w:r>
      <w:r w:rsidR="004F5298" w:rsidRPr="00835ACD">
        <w:rPr>
          <w:color w:val="000000" w:themeColor="text1"/>
          <w:lang w:val="en-US"/>
        </w:rPr>
        <w:t>.</w:t>
      </w:r>
    </w:p>
    <w:p w14:paraId="0E88149D" w14:textId="11DF35D0" w:rsidR="0037514F" w:rsidRPr="00C42031" w:rsidRDefault="0037514F" w:rsidP="0037514F">
      <w:pPr>
        <w:pStyle w:val="GSAtext"/>
      </w:pPr>
      <w:r w:rsidRPr="00C42031">
        <w:t xml:space="preserve">We organized our results </w:t>
      </w:r>
      <w:r>
        <w:t>for</w:t>
      </w:r>
      <w:r w:rsidRPr="00C42031">
        <w:t xml:space="preserve"> visualizing the </w:t>
      </w:r>
      <w:r>
        <w:t xml:space="preserve">spatial and temporal </w:t>
      </w:r>
      <w:r w:rsidRPr="00C42031">
        <w:t xml:space="preserve">evolution of accumulation history (Fig. 4), </w:t>
      </w:r>
      <w:r>
        <w:t xml:space="preserve">isopach / </w:t>
      </w:r>
      <w:r w:rsidRPr="00C42031">
        <w:t>depocenters (Fig. 5), depositional environments (Fig. 6), main lithologies (Fig. 8) and denudation history of the cratonic domain</w:t>
      </w:r>
      <w:r>
        <w:t xml:space="preserve"> </w:t>
      </w:r>
      <w:r w:rsidRPr="00C42031">
        <w:t xml:space="preserve">(Fig. </w:t>
      </w:r>
      <w:r>
        <w:t>8</w:t>
      </w:r>
      <w:r w:rsidRPr="00C42031">
        <w:t>)</w:t>
      </w:r>
      <w:r>
        <w:t>. The paleomaps of figures 5 to 8 are arranged by time intervals from (A) to (H) on a same layout for comparison</w:t>
      </w:r>
      <w:r w:rsidRPr="00C42031">
        <w:t xml:space="preserve">. </w:t>
      </w:r>
      <w:r>
        <w:t xml:space="preserve">We also provide in Supplemental File 1an alternative presentation of the maps, with </w:t>
      </w:r>
      <w:r w:rsidRPr="00C42031">
        <w:t>depocenter</w:t>
      </w:r>
      <w:r>
        <w:t>s</w:t>
      </w:r>
      <w:r w:rsidRPr="00C42031">
        <w:t>, depositional environment</w:t>
      </w:r>
      <w:r>
        <w:t>s</w:t>
      </w:r>
      <w:r w:rsidRPr="00C42031">
        <w:t xml:space="preserve"> and lithologies</w:t>
      </w:r>
      <w:r>
        <w:t xml:space="preserve"> shown together on a same figure for a given time interval</w:t>
      </w:r>
      <w:r w:rsidRPr="00C42031">
        <w:t>.</w:t>
      </w:r>
    </w:p>
    <w:p w14:paraId="72F55887" w14:textId="158B81E3" w:rsidR="00F70E17" w:rsidRPr="00C42031" w:rsidRDefault="00F70E17" w:rsidP="00F70E17">
      <w:pPr>
        <w:pStyle w:val="GSAtext"/>
      </w:pPr>
    </w:p>
    <w:p w14:paraId="5A93AA4B" w14:textId="52B7DF10" w:rsidR="00F70E17" w:rsidRPr="00835ACD" w:rsidRDefault="00F70E17" w:rsidP="001113E1">
      <w:pPr>
        <w:spacing w:after="120" w:line="480" w:lineRule="auto"/>
        <w:ind w:firstLine="708"/>
        <w:jc w:val="both"/>
        <w:rPr>
          <w:color w:val="000000" w:themeColor="text1"/>
          <w:lang w:val="en-US"/>
        </w:rPr>
      </w:pPr>
    </w:p>
    <w:p w14:paraId="174D342C" w14:textId="4D5C5A2C" w:rsidR="008426DA" w:rsidRPr="00835ACD" w:rsidRDefault="00835ACD" w:rsidP="001113E1">
      <w:pPr>
        <w:pStyle w:val="Heading1"/>
        <w:spacing w:after="0" w:line="480" w:lineRule="auto"/>
        <w:ind w:left="142"/>
        <w:rPr>
          <w:rFonts w:cs="Times New Roman"/>
          <w:color w:val="000000" w:themeColor="text1"/>
          <w:sz w:val="24"/>
          <w:szCs w:val="24"/>
          <w:lang w:val="en-US"/>
        </w:rPr>
      </w:pPr>
      <w:r w:rsidRPr="00835ACD">
        <w:rPr>
          <w:rFonts w:cs="Times New Roman"/>
          <w:color w:val="000000" w:themeColor="text1"/>
          <w:sz w:val="24"/>
          <w:szCs w:val="24"/>
          <w:lang w:val="en-US"/>
        </w:rPr>
        <w:t xml:space="preserve">4. DENUDATION HISTORY </w:t>
      </w:r>
    </w:p>
    <w:p w14:paraId="2E9A7F3A" w14:textId="296E5969" w:rsidR="00475071" w:rsidRPr="00835ACD" w:rsidRDefault="00475071" w:rsidP="003E6999">
      <w:pPr>
        <w:spacing w:after="120" w:line="480" w:lineRule="auto"/>
        <w:ind w:firstLine="708"/>
        <w:rPr>
          <w:color w:val="000000" w:themeColor="text1"/>
          <w:lang w:val="en-US"/>
        </w:rPr>
      </w:pPr>
      <w:r w:rsidRPr="00835ACD">
        <w:rPr>
          <w:lang w:val="en-US"/>
        </w:rPr>
        <w:t xml:space="preserve">Location of </w:t>
      </w:r>
      <w:r w:rsidRPr="00835ACD">
        <w:rPr>
          <w:color w:val="000000" w:themeColor="text1"/>
          <w:lang w:val="en-US"/>
        </w:rPr>
        <w:t>the LTT sample</w:t>
      </w:r>
      <w:r w:rsidR="00196501" w:rsidRPr="00835ACD">
        <w:rPr>
          <w:color w:val="000000" w:themeColor="text1"/>
          <w:lang w:val="en-US"/>
        </w:rPr>
        <w:t>s</w:t>
      </w:r>
      <w:r w:rsidRPr="00835ACD">
        <w:rPr>
          <w:color w:val="000000" w:themeColor="text1"/>
          <w:lang w:val="en-US"/>
        </w:rPr>
        <w:t xml:space="preserve"> </w:t>
      </w:r>
      <w:r w:rsidR="0037514F">
        <w:rPr>
          <w:color w:val="000000" w:themeColor="text1"/>
          <w:lang w:val="en-US"/>
        </w:rPr>
        <w:t xml:space="preserve">of Dereycke et al., (2021) </w:t>
      </w:r>
      <w:r w:rsidRPr="00835ACD">
        <w:rPr>
          <w:color w:val="000000" w:themeColor="text1"/>
          <w:lang w:val="en-US"/>
        </w:rPr>
        <w:t xml:space="preserve">is shown in Fig. 2. </w:t>
      </w:r>
      <w:r w:rsidR="00196501" w:rsidRPr="00835ACD">
        <w:rPr>
          <w:color w:val="000000" w:themeColor="text1"/>
          <w:lang w:val="en-US"/>
        </w:rPr>
        <w:t>The m</w:t>
      </w:r>
      <w:r w:rsidRPr="00835ACD">
        <w:rPr>
          <w:color w:val="000000" w:themeColor="text1"/>
          <w:lang w:val="en-US"/>
        </w:rPr>
        <w:t xml:space="preserve">ethod to evaluate the denudation </w:t>
      </w:r>
      <w:r w:rsidR="00196501" w:rsidRPr="00835ACD">
        <w:rPr>
          <w:color w:val="000000" w:themeColor="text1"/>
          <w:lang w:val="en-US"/>
        </w:rPr>
        <w:t xml:space="preserve">rates shown in Fig. 8 </w:t>
      </w:r>
      <w:r w:rsidRPr="00835ACD">
        <w:rPr>
          <w:color w:val="000000" w:themeColor="text1"/>
          <w:lang w:val="en-US"/>
        </w:rPr>
        <w:t xml:space="preserve">is described in the “Method” section of the main text. Denudation rate values are given in </w:t>
      </w:r>
      <w:r w:rsidR="00E0164A" w:rsidRPr="00835ACD">
        <w:rPr>
          <w:color w:val="000000" w:themeColor="text1"/>
          <w:lang w:val="en-US"/>
        </w:rPr>
        <w:t>T</w:t>
      </w:r>
      <w:r w:rsidRPr="00835ACD">
        <w:rPr>
          <w:color w:val="000000" w:themeColor="text1"/>
          <w:lang w:val="en-US"/>
        </w:rPr>
        <w:t>able S6.</w:t>
      </w:r>
    </w:p>
    <w:p w14:paraId="6FEB91C1" w14:textId="77777777" w:rsidR="006126AB" w:rsidRPr="00835ACD" w:rsidRDefault="006126AB" w:rsidP="001113E1">
      <w:pPr>
        <w:spacing w:line="480" w:lineRule="auto"/>
        <w:jc w:val="both"/>
        <w:rPr>
          <w:b/>
          <w:bCs/>
          <w:i/>
          <w:iCs/>
          <w:color w:val="000000" w:themeColor="text1"/>
          <w:lang w:val="en-US"/>
        </w:rPr>
      </w:pPr>
    </w:p>
    <w:p w14:paraId="4D2FCF16" w14:textId="07FC3945" w:rsidR="00716E50" w:rsidRPr="00835ACD" w:rsidRDefault="00835ACD" w:rsidP="001113E1">
      <w:pPr>
        <w:pStyle w:val="Heading1"/>
        <w:spacing w:after="0" w:line="480" w:lineRule="auto"/>
        <w:rPr>
          <w:rFonts w:cs="Times New Roman"/>
          <w:sz w:val="24"/>
          <w:szCs w:val="24"/>
          <w:lang w:val="en-US"/>
        </w:rPr>
      </w:pPr>
      <w:r w:rsidRPr="00835ACD">
        <w:rPr>
          <w:rFonts w:cs="Times New Roman"/>
          <w:sz w:val="24"/>
          <w:szCs w:val="24"/>
          <w:lang w:val="en-US"/>
        </w:rPr>
        <w:t>REFERENCES</w:t>
      </w:r>
    </w:p>
    <w:p w14:paraId="54FDA5D4" w14:textId="77777777" w:rsidR="007671BF" w:rsidRPr="009E4139" w:rsidRDefault="007671BF" w:rsidP="009E4139">
      <w:pPr>
        <w:spacing w:after="120" w:line="480" w:lineRule="auto"/>
        <w:ind w:left="284" w:hanging="284"/>
        <w:rPr>
          <w:lang w:val="en-GB"/>
        </w:rPr>
      </w:pPr>
      <w:r w:rsidRPr="00835ACD">
        <w:rPr>
          <w:lang w:val="en-GB"/>
        </w:rPr>
        <w:t xml:space="preserve">Bajolet F., Chardon D., Rouby D., Dall’Asta M., Loparev A., Couëffe R., Roig, J.-Y. Paleogeographic constraints on a continental-scale source-to-sink system: Northern South </w:t>
      </w:r>
      <w:r w:rsidRPr="009E4139">
        <w:rPr>
          <w:lang w:val="en-GB"/>
        </w:rPr>
        <w:t>America since the Early Mesozoic, submitted to Earth Science Reviews</w:t>
      </w:r>
    </w:p>
    <w:p w14:paraId="1A98D4A3" w14:textId="77777777" w:rsidR="009E4139" w:rsidRPr="009E4139" w:rsidRDefault="00897530" w:rsidP="009E4139">
      <w:pPr>
        <w:pStyle w:val="NormalWeb"/>
        <w:spacing w:line="480" w:lineRule="auto"/>
        <w:ind w:left="284" w:hanging="284"/>
        <w:rPr>
          <w:lang w:val="en-US"/>
        </w:rPr>
      </w:pPr>
      <w:r w:rsidRPr="009E4139">
        <w:rPr>
          <w:lang w:val="en-US"/>
        </w:rPr>
        <w:lastRenderedPageBreak/>
        <w:t>Cohen, K.M., Finney, S.C., Gibbard, P.L., Fan, J.-X.</w:t>
      </w:r>
      <w:r w:rsidR="009E4139" w:rsidRPr="009E4139">
        <w:rPr>
          <w:lang w:val="en-US"/>
        </w:rPr>
        <w:t>,</w:t>
      </w:r>
      <w:r w:rsidRPr="009E4139">
        <w:rPr>
          <w:lang w:val="en-US"/>
        </w:rPr>
        <w:t xml:space="preserve"> 2013updated</w:t>
      </w:r>
      <w:r w:rsidR="009E4139" w:rsidRPr="009E4139">
        <w:rPr>
          <w:lang w:val="en-US"/>
        </w:rPr>
        <w:t>,</w:t>
      </w:r>
      <w:r w:rsidRPr="009E4139">
        <w:rPr>
          <w:lang w:val="en-US"/>
        </w:rPr>
        <w:t xml:space="preserve"> The ICS International Chronostratigraphic Chart. Episodes 36, 199-204.</w:t>
      </w:r>
      <w:r w:rsidR="009E4139" w:rsidRPr="009E4139">
        <w:rPr>
          <w:lang w:val="en-US"/>
        </w:rPr>
        <w:t xml:space="preserve"> http://www.stratigraphy.org/ICSchart/ChronostratChart2021-05.pdf </w:t>
      </w:r>
    </w:p>
    <w:p w14:paraId="472320FE" w14:textId="77777777" w:rsidR="00835ACD" w:rsidRPr="00835ACD" w:rsidRDefault="00835ACD" w:rsidP="003E6999">
      <w:pPr>
        <w:spacing w:after="120" w:line="480" w:lineRule="auto"/>
        <w:ind w:left="284" w:hanging="284"/>
        <w:rPr>
          <w:rFonts w:eastAsia="Calibri"/>
          <w:lang w:val="en-US"/>
        </w:rPr>
      </w:pPr>
      <w:r w:rsidRPr="00835ACD">
        <w:rPr>
          <w:lang w:val="en-US"/>
        </w:rPr>
        <w:t>Derycke, A., Gautheron, C., Barbarand, J., Bourbon, P., Aertgeerts, G., Simon‐Labric, T., Sarda, P., Pinna‐Jamme, R., Boukari, C., and Haurine, F., 2021, French Guiana margin evolution: From Gondwana break‐up to Atlantic opening: Terra Nova, ter.12526, doi:</w:t>
      </w:r>
      <w:hyperlink r:id="rId8" w:history="1">
        <w:r w:rsidRPr="00835ACD">
          <w:rPr>
            <w:rStyle w:val="Hyperlink"/>
            <w:lang w:val="en-US"/>
          </w:rPr>
          <w:t>10.1111/ter.12526</w:t>
        </w:r>
      </w:hyperlink>
      <w:r w:rsidRPr="00835ACD">
        <w:rPr>
          <w:lang w:val="en-US"/>
        </w:rPr>
        <w:t>.</w:t>
      </w:r>
    </w:p>
    <w:p w14:paraId="3648527B" w14:textId="1118307E" w:rsidR="00DA710D" w:rsidRPr="00835ACD" w:rsidRDefault="00DA710D" w:rsidP="003E6999">
      <w:pPr>
        <w:autoSpaceDE w:val="0"/>
        <w:autoSpaceDN w:val="0"/>
        <w:adjustRightInd w:val="0"/>
        <w:spacing w:after="120" w:line="480" w:lineRule="auto"/>
        <w:ind w:left="284" w:hanging="284"/>
        <w:jc w:val="both"/>
        <w:rPr>
          <w:rFonts w:eastAsiaTheme="minorHAnsi"/>
          <w:color w:val="000000" w:themeColor="text1"/>
          <w:lang w:val="en-US" w:eastAsia="en-US"/>
        </w:rPr>
      </w:pPr>
      <w:r w:rsidRPr="00835ACD">
        <w:rPr>
          <w:rFonts w:eastAsiaTheme="minorHAnsi"/>
          <w:color w:val="000000" w:themeColor="text1"/>
          <w:lang w:val="en-US" w:eastAsia="en-US"/>
        </w:rPr>
        <w:t>Embry, A.F., 1993</w:t>
      </w:r>
      <w:r w:rsidR="00BB4C4D" w:rsidRPr="00835ACD">
        <w:rPr>
          <w:rFonts w:eastAsiaTheme="minorHAnsi"/>
          <w:color w:val="000000" w:themeColor="text1"/>
          <w:lang w:val="en-US" w:eastAsia="en-US"/>
        </w:rPr>
        <w:t>,</w:t>
      </w:r>
      <w:r w:rsidRPr="00835ACD">
        <w:rPr>
          <w:rFonts w:eastAsiaTheme="minorHAnsi"/>
          <w:color w:val="000000" w:themeColor="text1"/>
          <w:lang w:val="en-US" w:eastAsia="en-US"/>
        </w:rPr>
        <w:t xml:space="preserve"> Transgressive–regressive (TR) sequence analysis of the Jurassic succession of the Sverdup Basin, Canadian Artic Archipelago</w:t>
      </w:r>
      <w:r w:rsidR="00BB4C4D" w:rsidRPr="00835ACD">
        <w:rPr>
          <w:rFonts w:eastAsiaTheme="minorHAnsi"/>
          <w:color w:val="000000" w:themeColor="text1"/>
          <w:lang w:val="en-US" w:eastAsia="en-US"/>
        </w:rPr>
        <w:t>:</w:t>
      </w:r>
      <w:r w:rsidRPr="00835ACD">
        <w:rPr>
          <w:rFonts w:eastAsiaTheme="minorHAnsi"/>
          <w:color w:val="000000" w:themeColor="text1"/>
          <w:lang w:val="en-US" w:eastAsia="en-US"/>
        </w:rPr>
        <w:t xml:space="preserve"> Canadian Journal of Earth Sciences</w:t>
      </w:r>
      <w:r w:rsidR="00BB4C4D" w:rsidRPr="00835ACD">
        <w:rPr>
          <w:rFonts w:eastAsiaTheme="minorHAnsi"/>
          <w:color w:val="000000" w:themeColor="text1"/>
          <w:lang w:val="en-US" w:eastAsia="en-US"/>
        </w:rPr>
        <w:t xml:space="preserve">, v. </w:t>
      </w:r>
      <w:r w:rsidRPr="00835ACD">
        <w:rPr>
          <w:rFonts w:eastAsiaTheme="minorHAnsi"/>
          <w:color w:val="000000" w:themeColor="text1"/>
          <w:lang w:val="en-US" w:eastAsia="en-US"/>
        </w:rPr>
        <w:t xml:space="preserve">30, </w:t>
      </w:r>
      <w:r w:rsidR="00BB4C4D" w:rsidRPr="00835ACD">
        <w:rPr>
          <w:rFonts w:eastAsiaTheme="minorHAnsi"/>
          <w:color w:val="000000" w:themeColor="text1"/>
          <w:lang w:val="en-US" w:eastAsia="en-US"/>
        </w:rPr>
        <w:t xml:space="preserve">p. </w:t>
      </w:r>
      <w:r w:rsidRPr="00835ACD">
        <w:rPr>
          <w:rFonts w:eastAsiaTheme="minorHAnsi"/>
          <w:color w:val="000000" w:themeColor="text1"/>
          <w:lang w:val="en-US" w:eastAsia="en-US"/>
        </w:rPr>
        <w:t>310–320.</w:t>
      </w:r>
    </w:p>
    <w:p w14:paraId="5B90A69C" w14:textId="1F52911F" w:rsidR="007671BF" w:rsidRPr="00835ACD" w:rsidRDefault="007671BF" w:rsidP="003E6999">
      <w:pPr>
        <w:spacing w:after="120" w:line="480" w:lineRule="auto"/>
        <w:ind w:left="284" w:hanging="284"/>
        <w:rPr>
          <w:lang w:val="en-US"/>
        </w:rPr>
      </w:pPr>
      <w:r w:rsidRPr="00835ACD">
        <w:rPr>
          <w:lang w:val="en-US"/>
        </w:rPr>
        <w:t>Guillocheau, F., Rouby, D., Robin, C., Helm, C., Rolland, N., Le Carlier de Veslud, C., and Braun, J., 201</w:t>
      </w:r>
      <w:r w:rsidR="006637AD">
        <w:rPr>
          <w:lang w:val="en-US"/>
        </w:rPr>
        <w:t>1</w:t>
      </w:r>
      <w:r w:rsidRPr="00835ACD">
        <w:rPr>
          <w:lang w:val="en-US"/>
        </w:rPr>
        <w:t>, Quantification and causes of the terrigeneous sediment budget at the scale of a continental margin: a new method applied to the Namibia-South Africa margin: Quantification and causes of the terrigeneous sediment budget at the scale of a continental margin: Basin Research, v. 24, p. 3–30, doi:</w:t>
      </w:r>
      <w:hyperlink r:id="rId9" w:history="1">
        <w:r w:rsidRPr="00835ACD">
          <w:rPr>
            <w:rStyle w:val="Hyperlink"/>
            <w:rFonts w:eastAsiaTheme="majorEastAsia"/>
            <w:lang w:val="en-US"/>
          </w:rPr>
          <w:t>10.1111/j.1365-2117.2011.00511.x</w:t>
        </w:r>
      </w:hyperlink>
      <w:r w:rsidRPr="00835ACD">
        <w:rPr>
          <w:lang w:val="en-US"/>
        </w:rPr>
        <w:t>.</w:t>
      </w:r>
    </w:p>
    <w:p w14:paraId="6C4DCAC6" w14:textId="058D7B31" w:rsidR="00CF50BE" w:rsidRPr="00835ACD" w:rsidRDefault="00CF50BE" w:rsidP="003E6999">
      <w:pPr>
        <w:autoSpaceDE w:val="0"/>
        <w:autoSpaceDN w:val="0"/>
        <w:adjustRightInd w:val="0"/>
        <w:spacing w:after="120" w:line="480" w:lineRule="auto"/>
        <w:ind w:left="284" w:hanging="284"/>
        <w:jc w:val="both"/>
        <w:rPr>
          <w:rFonts w:eastAsiaTheme="minorHAnsi"/>
          <w:color w:val="000000" w:themeColor="text1"/>
          <w:lang w:eastAsia="en-US"/>
        </w:rPr>
      </w:pPr>
      <w:r w:rsidRPr="00835ACD">
        <w:rPr>
          <w:rFonts w:eastAsiaTheme="minorHAnsi"/>
          <w:color w:val="000000" w:themeColor="text1"/>
          <w:lang w:eastAsia="en-US"/>
        </w:rPr>
        <w:t xml:space="preserve">Homewood, P., Guillocheau, F., Eschard, R., </w:t>
      </w:r>
      <w:r w:rsidR="00EC0333" w:rsidRPr="00835ACD">
        <w:rPr>
          <w:rFonts w:eastAsiaTheme="minorHAnsi"/>
          <w:color w:val="000000" w:themeColor="text1"/>
          <w:lang w:eastAsia="en-US"/>
        </w:rPr>
        <w:t xml:space="preserve">and </w:t>
      </w:r>
      <w:r w:rsidRPr="00835ACD">
        <w:rPr>
          <w:rFonts w:eastAsiaTheme="minorHAnsi"/>
          <w:color w:val="000000" w:themeColor="text1"/>
          <w:lang w:eastAsia="en-US"/>
        </w:rPr>
        <w:t>Cross, T., 1992</w:t>
      </w:r>
      <w:r w:rsidR="00EC0333" w:rsidRPr="00835ACD">
        <w:rPr>
          <w:rFonts w:eastAsiaTheme="minorHAnsi"/>
          <w:color w:val="000000" w:themeColor="text1"/>
          <w:lang w:eastAsia="en-US"/>
        </w:rPr>
        <w:t>,</w:t>
      </w:r>
      <w:r w:rsidRPr="00835ACD">
        <w:rPr>
          <w:rFonts w:eastAsiaTheme="minorHAnsi"/>
          <w:color w:val="000000" w:themeColor="text1"/>
          <w:lang w:eastAsia="en-US"/>
        </w:rPr>
        <w:t xml:space="preserve"> Corrélation haute résolution et stratigraphie génétique : une démarche intégrée</w:t>
      </w:r>
      <w:r w:rsidR="00EC0333" w:rsidRPr="00835ACD">
        <w:rPr>
          <w:rFonts w:eastAsiaTheme="minorHAnsi"/>
          <w:color w:val="000000" w:themeColor="text1"/>
          <w:lang w:eastAsia="en-US"/>
        </w:rPr>
        <w:t>:</w:t>
      </w:r>
      <w:r w:rsidRPr="00835ACD">
        <w:rPr>
          <w:rFonts w:eastAsiaTheme="minorHAnsi"/>
          <w:color w:val="000000" w:themeColor="text1"/>
          <w:lang w:eastAsia="en-US"/>
        </w:rPr>
        <w:t xml:space="preserve"> Bulletin des Centres de Recherches Exploration-Production Elf-Aquitaine</w:t>
      </w:r>
      <w:r w:rsidR="00EC0333" w:rsidRPr="00835ACD">
        <w:rPr>
          <w:rFonts w:eastAsiaTheme="minorHAnsi"/>
          <w:color w:val="000000" w:themeColor="text1"/>
          <w:lang w:eastAsia="en-US"/>
        </w:rPr>
        <w:t xml:space="preserve">, v. </w:t>
      </w:r>
      <w:r w:rsidRPr="00835ACD">
        <w:rPr>
          <w:rFonts w:eastAsiaTheme="minorHAnsi"/>
          <w:color w:val="000000" w:themeColor="text1"/>
          <w:lang w:eastAsia="en-US"/>
        </w:rPr>
        <w:t xml:space="preserve">16, </w:t>
      </w:r>
      <w:r w:rsidR="00EC0333" w:rsidRPr="00835ACD">
        <w:rPr>
          <w:rFonts w:eastAsiaTheme="minorHAnsi"/>
          <w:color w:val="000000" w:themeColor="text1"/>
          <w:lang w:eastAsia="en-US"/>
        </w:rPr>
        <w:t xml:space="preserve">p. </w:t>
      </w:r>
      <w:r w:rsidRPr="00835ACD">
        <w:rPr>
          <w:rFonts w:eastAsiaTheme="minorHAnsi"/>
          <w:color w:val="000000" w:themeColor="text1"/>
          <w:lang w:eastAsia="en-US"/>
        </w:rPr>
        <w:t>375–381.</w:t>
      </w:r>
    </w:p>
    <w:p w14:paraId="3D4BC236" w14:textId="3D54B756" w:rsidR="00CF50BE" w:rsidRPr="00835ACD" w:rsidRDefault="00CF50BE" w:rsidP="003E6999">
      <w:pPr>
        <w:tabs>
          <w:tab w:val="left" w:pos="426"/>
        </w:tabs>
        <w:autoSpaceDE w:val="0"/>
        <w:autoSpaceDN w:val="0"/>
        <w:adjustRightInd w:val="0"/>
        <w:spacing w:after="120" w:line="480" w:lineRule="auto"/>
        <w:ind w:left="284" w:hanging="284"/>
        <w:jc w:val="both"/>
        <w:rPr>
          <w:rFonts w:eastAsiaTheme="minorHAnsi"/>
          <w:color w:val="000000" w:themeColor="text1"/>
          <w:lang w:val="en-US" w:eastAsia="en-US"/>
        </w:rPr>
      </w:pPr>
      <w:r w:rsidRPr="00835ACD">
        <w:rPr>
          <w:rFonts w:eastAsiaTheme="minorHAnsi"/>
          <w:color w:val="000000" w:themeColor="text1"/>
          <w:lang w:val="en-US" w:eastAsia="en-US"/>
        </w:rPr>
        <w:t xml:space="preserve">Homewood, P., Mauriaud, P., </w:t>
      </w:r>
      <w:r w:rsidR="00ED2447" w:rsidRPr="00835ACD">
        <w:rPr>
          <w:rFonts w:eastAsiaTheme="minorHAnsi"/>
          <w:color w:val="000000" w:themeColor="text1"/>
          <w:lang w:val="en-US" w:eastAsia="en-US"/>
        </w:rPr>
        <w:t xml:space="preserve">and </w:t>
      </w:r>
      <w:r w:rsidRPr="00835ACD">
        <w:rPr>
          <w:rFonts w:eastAsiaTheme="minorHAnsi"/>
          <w:color w:val="000000" w:themeColor="text1"/>
          <w:lang w:val="en-US" w:eastAsia="en-US"/>
        </w:rPr>
        <w:t>Lafont, F., 1999, Best Practices in Sequence Stratigraphy for Explorationists and Reservoir Engineers</w:t>
      </w:r>
      <w:r w:rsidR="00ED2447" w:rsidRPr="00835ACD">
        <w:rPr>
          <w:rFonts w:eastAsiaTheme="minorHAnsi"/>
          <w:color w:val="000000" w:themeColor="text1"/>
          <w:lang w:val="en-US" w:eastAsia="en-US"/>
        </w:rPr>
        <w:t>:</w:t>
      </w:r>
      <w:r w:rsidRPr="00835ACD">
        <w:rPr>
          <w:rFonts w:eastAsiaTheme="minorHAnsi"/>
          <w:color w:val="000000" w:themeColor="text1"/>
          <w:lang w:val="en-US" w:eastAsia="en-US"/>
        </w:rPr>
        <w:t xml:space="preserve"> Elf Exploration Edition Memoir, </w:t>
      </w:r>
      <w:r w:rsidR="002152B5" w:rsidRPr="00835ACD">
        <w:rPr>
          <w:rFonts w:eastAsiaTheme="minorHAnsi"/>
          <w:color w:val="000000" w:themeColor="text1"/>
          <w:lang w:val="en-US" w:eastAsia="en-US"/>
        </w:rPr>
        <w:t>25</w:t>
      </w:r>
      <w:r w:rsidRPr="00835ACD">
        <w:rPr>
          <w:rFonts w:eastAsiaTheme="minorHAnsi"/>
          <w:color w:val="000000" w:themeColor="text1"/>
          <w:lang w:val="en-US" w:eastAsia="en-US"/>
        </w:rPr>
        <w:t xml:space="preserve">, </w:t>
      </w:r>
      <w:r w:rsidR="002152B5" w:rsidRPr="00835ACD">
        <w:rPr>
          <w:rFonts w:eastAsiaTheme="minorHAnsi"/>
          <w:color w:val="000000" w:themeColor="text1"/>
          <w:lang w:val="en-US" w:eastAsia="en-US"/>
        </w:rPr>
        <w:t>81 p</w:t>
      </w:r>
    </w:p>
    <w:p w14:paraId="260A52FF" w14:textId="77777777" w:rsidR="00A86551" w:rsidRDefault="00363D88" w:rsidP="00A86551">
      <w:pPr>
        <w:spacing w:after="120" w:line="480" w:lineRule="auto"/>
        <w:ind w:left="284" w:hanging="284"/>
        <w:jc w:val="both"/>
        <w:rPr>
          <w:color w:val="000000" w:themeColor="text1"/>
          <w:lang w:val="en-US"/>
        </w:rPr>
      </w:pPr>
      <w:r w:rsidRPr="00835ACD">
        <w:rPr>
          <w:color w:val="000000" w:themeColor="text1"/>
          <w:lang w:val="en-US"/>
        </w:rPr>
        <w:t>Jermannaud, P., D. Rouby, C. Robin, T. Nalpas, F. Guillocheau, and S. Raillard, 2010, Plio-Pleistocene sequence stratigraphic architecture of the eastern Niger Delta: A record of eustasy and aridification of Africa: Marine and Petroleum Geology, v. 27, p. 810–821, doi:</w:t>
      </w:r>
      <w:hyperlink r:id="rId10" w:history="1">
        <w:r w:rsidRPr="00835ACD">
          <w:rPr>
            <w:rStyle w:val="Hyperlink"/>
            <w:rFonts w:eastAsiaTheme="majorEastAsia"/>
            <w:color w:val="000000" w:themeColor="text1"/>
            <w:lang w:val="en-US"/>
          </w:rPr>
          <w:t>10.1016/j.marpetgeo.2009.12.005</w:t>
        </w:r>
      </w:hyperlink>
      <w:r w:rsidRPr="00835ACD">
        <w:rPr>
          <w:color w:val="000000" w:themeColor="text1"/>
          <w:lang w:val="en-US"/>
        </w:rPr>
        <w:t>.</w:t>
      </w:r>
    </w:p>
    <w:p w14:paraId="7CF6A5DA" w14:textId="5C96F38D" w:rsidR="00A86551" w:rsidRPr="00A86551" w:rsidRDefault="00B37586" w:rsidP="00A86551">
      <w:pPr>
        <w:spacing w:after="120" w:line="480" w:lineRule="auto"/>
        <w:ind w:left="284" w:hanging="284"/>
        <w:jc w:val="both"/>
        <w:rPr>
          <w:color w:val="000000" w:themeColor="text1"/>
          <w:lang w:val="en-US"/>
        </w:rPr>
      </w:pPr>
      <w:r>
        <w:rPr>
          <w:lang w:val="en-US"/>
        </w:rPr>
        <w:lastRenderedPageBreak/>
        <w:t>Jones, S., White, N.</w:t>
      </w:r>
      <w:r w:rsidR="00A86551">
        <w:rPr>
          <w:lang w:val="en-US"/>
        </w:rPr>
        <w:t>J.</w:t>
      </w:r>
      <w:r>
        <w:rPr>
          <w:lang w:val="en-US"/>
        </w:rPr>
        <w:t xml:space="preserve">, and Lovell, B., 2001, Cenoizoic and Cretaceous transient uplift in the Porcupine Basin and its relationship to a mantle plume, </w:t>
      </w:r>
      <w:r w:rsidRPr="00B37586">
        <w:rPr>
          <w:i/>
          <w:iCs/>
          <w:lang w:val="en-US"/>
        </w:rPr>
        <w:t>in:</w:t>
      </w:r>
      <w:r>
        <w:rPr>
          <w:lang w:val="en-US"/>
        </w:rPr>
        <w:t xml:space="preserve"> Shannon, P.M., Haughton, P.D.W. and Corcoran, D.V., eds, The Petroleum Exploration of Ireland Offshore Basins, Geological Society, London, Special Publication, 188, 345-360</w:t>
      </w:r>
      <w:r w:rsidR="00A86551">
        <w:rPr>
          <w:lang w:val="en-US"/>
        </w:rPr>
        <w:t xml:space="preserve">, doi: </w:t>
      </w:r>
      <w:hyperlink r:id="rId11" w:history="1">
        <w:r w:rsidR="00A86551" w:rsidRPr="00A86551">
          <w:rPr>
            <w:rStyle w:val="Hyperlink"/>
            <w:rFonts w:eastAsiaTheme="majorEastAsia" w:cs="Arial"/>
            <w:sz w:val="16"/>
            <w:szCs w:val="16"/>
            <w:lang w:val="en-US"/>
          </w:rPr>
          <w:t>10.1144/GSL.SP.2001.188.01.20</w:t>
        </w:r>
      </w:hyperlink>
    </w:p>
    <w:p w14:paraId="784933EE" w14:textId="2DC8C70D" w:rsidR="00BB4C4D" w:rsidRPr="00835ACD" w:rsidRDefault="00BB4C4D" w:rsidP="003E6999">
      <w:pPr>
        <w:spacing w:after="120" w:line="480" w:lineRule="auto"/>
        <w:ind w:left="284" w:hanging="284"/>
        <w:rPr>
          <w:lang w:val="en-US"/>
        </w:rPr>
      </w:pPr>
      <w:r w:rsidRPr="00835ACD">
        <w:rPr>
          <w:lang w:val="en-US"/>
        </w:rPr>
        <w:t>Loparev, A., Rouby, D., Chardon, D., Dall’Asta, M., Sapin, F., Bajolet, F., Ye, J., and Paquet, F., 2021, Superimposed Rifting at the Junction of the Central and Equatorial Atlantic: Formation of the Passive Margin of the Guiana Shield: Tectonics, v. 40, doi:</w:t>
      </w:r>
      <w:hyperlink r:id="rId12" w:history="1">
        <w:r w:rsidRPr="00835ACD">
          <w:rPr>
            <w:rStyle w:val="Hyperlink"/>
            <w:rFonts w:eastAsiaTheme="majorEastAsia"/>
            <w:lang w:val="en-US"/>
          </w:rPr>
          <w:t>10.1029/2020TC006159</w:t>
        </w:r>
      </w:hyperlink>
      <w:r w:rsidRPr="00835ACD">
        <w:rPr>
          <w:lang w:val="en-US"/>
        </w:rPr>
        <w:t>.</w:t>
      </w:r>
    </w:p>
    <w:p w14:paraId="2A59D523" w14:textId="0BB4F6F5" w:rsidR="008E1CDA" w:rsidRPr="00835ACD" w:rsidRDefault="008E1CDA" w:rsidP="003E6999">
      <w:pPr>
        <w:spacing w:after="120" w:line="480" w:lineRule="auto"/>
        <w:ind w:left="284" w:hanging="284"/>
        <w:jc w:val="both"/>
        <w:rPr>
          <w:color w:val="000000" w:themeColor="text1"/>
          <w:lang w:val="en-US"/>
        </w:rPr>
      </w:pPr>
      <w:r w:rsidRPr="00835ACD">
        <w:rPr>
          <w:rFonts w:eastAsiaTheme="minorHAnsi"/>
          <w:color w:val="000000" w:themeColor="text1"/>
          <w:lang w:val="en-US" w:eastAsia="en-US"/>
        </w:rPr>
        <w:t>Posamentier, H.W., Jervey, M.T., Vail, P.R., 1988a. Eustatic controls on clastic deposition I – conceptual framework</w:t>
      </w:r>
      <w:r w:rsidR="006633FF" w:rsidRPr="00835ACD">
        <w:rPr>
          <w:rFonts w:eastAsiaTheme="minorHAnsi"/>
          <w:color w:val="000000" w:themeColor="text1"/>
          <w:lang w:val="en-US" w:eastAsia="en-US"/>
        </w:rPr>
        <w:t>,</w:t>
      </w:r>
      <w:r w:rsidRPr="00835ACD">
        <w:rPr>
          <w:rFonts w:eastAsiaTheme="minorHAnsi"/>
          <w:color w:val="000000" w:themeColor="text1"/>
          <w:lang w:val="en-US" w:eastAsia="en-US"/>
        </w:rPr>
        <w:t xml:space="preserve"> </w:t>
      </w:r>
      <w:r w:rsidR="006633FF" w:rsidRPr="00835ACD">
        <w:rPr>
          <w:rFonts w:eastAsiaTheme="minorHAnsi"/>
          <w:i/>
          <w:iCs/>
          <w:color w:val="000000" w:themeColor="text1"/>
          <w:lang w:val="en-US" w:eastAsia="en-US"/>
        </w:rPr>
        <w:t>in:</w:t>
      </w:r>
      <w:r w:rsidRPr="00835ACD">
        <w:rPr>
          <w:rFonts w:eastAsiaTheme="minorHAnsi"/>
          <w:color w:val="000000" w:themeColor="text1"/>
          <w:lang w:val="en-US" w:eastAsia="en-US"/>
        </w:rPr>
        <w:t xml:space="preserve"> Wilgus, C.K., Hastings, B.S., Kendall, C.G., Posamentier, H.W., Ross, C.A., </w:t>
      </w:r>
      <w:r w:rsidR="004343B6" w:rsidRPr="00835ACD">
        <w:rPr>
          <w:rFonts w:eastAsiaTheme="minorHAnsi"/>
          <w:color w:val="000000" w:themeColor="text1"/>
          <w:lang w:val="en-US" w:eastAsia="en-US"/>
        </w:rPr>
        <w:t xml:space="preserve">and </w:t>
      </w:r>
      <w:r w:rsidRPr="00835ACD">
        <w:rPr>
          <w:rFonts w:eastAsiaTheme="minorHAnsi"/>
          <w:color w:val="000000" w:themeColor="text1"/>
          <w:lang w:val="en-US" w:eastAsia="en-US"/>
        </w:rPr>
        <w:t>Van Wagoner, J.C.</w:t>
      </w:r>
      <w:r w:rsidR="00B02FD2" w:rsidRPr="00835ACD">
        <w:rPr>
          <w:rFonts w:eastAsiaTheme="minorHAnsi"/>
          <w:color w:val="000000" w:themeColor="text1"/>
          <w:lang w:val="en-US" w:eastAsia="en-US"/>
        </w:rPr>
        <w:t>,</w:t>
      </w:r>
      <w:r w:rsidRPr="00835ACD">
        <w:rPr>
          <w:rFonts w:eastAsiaTheme="minorHAnsi"/>
          <w:color w:val="000000" w:themeColor="text1"/>
          <w:lang w:val="en-US" w:eastAsia="en-US"/>
        </w:rPr>
        <w:t xml:space="preserve"> </w:t>
      </w:r>
      <w:r w:rsidR="00B02FD2" w:rsidRPr="00835ACD">
        <w:rPr>
          <w:rFonts w:eastAsiaTheme="minorHAnsi"/>
          <w:color w:val="000000" w:themeColor="text1"/>
          <w:lang w:val="en-US" w:eastAsia="en-US"/>
        </w:rPr>
        <w:t>e</w:t>
      </w:r>
      <w:r w:rsidRPr="00835ACD">
        <w:rPr>
          <w:rFonts w:eastAsiaTheme="minorHAnsi"/>
          <w:color w:val="000000" w:themeColor="text1"/>
          <w:lang w:val="en-US" w:eastAsia="en-US"/>
        </w:rPr>
        <w:t>ds., Sea Level Changes: an Integrated Approach</w:t>
      </w:r>
      <w:r w:rsidR="00B02FD2" w:rsidRPr="00835ACD">
        <w:rPr>
          <w:rFonts w:eastAsiaTheme="minorHAnsi"/>
          <w:color w:val="000000" w:themeColor="text1"/>
          <w:lang w:val="en-US" w:eastAsia="en-US"/>
        </w:rPr>
        <w:t>:</w:t>
      </w:r>
      <w:r w:rsidRPr="00835ACD">
        <w:rPr>
          <w:rFonts w:eastAsiaTheme="minorHAnsi"/>
          <w:color w:val="000000" w:themeColor="text1"/>
          <w:lang w:val="en-US" w:eastAsia="en-US"/>
        </w:rPr>
        <w:t xml:space="preserve"> Soc</w:t>
      </w:r>
      <w:r w:rsidR="004343B6" w:rsidRPr="00835ACD">
        <w:rPr>
          <w:rFonts w:eastAsiaTheme="minorHAnsi"/>
          <w:color w:val="000000" w:themeColor="text1"/>
          <w:lang w:val="en-US" w:eastAsia="en-US"/>
        </w:rPr>
        <w:t>iety</w:t>
      </w:r>
      <w:r w:rsidRPr="00835ACD">
        <w:rPr>
          <w:rFonts w:eastAsiaTheme="minorHAnsi"/>
          <w:color w:val="000000" w:themeColor="text1"/>
          <w:lang w:val="en-US" w:eastAsia="en-US"/>
        </w:rPr>
        <w:t xml:space="preserve"> </w:t>
      </w:r>
      <w:r w:rsidR="004343B6" w:rsidRPr="00835ACD">
        <w:rPr>
          <w:rFonts w:eastAsiaTheme="minorHAnsi"/>
          <w:color w:val="000000" w:themeColor="text1"/>
          <w:lang w:val="en-US" w:eastAsia="en-US"/>
        </w:rPr>
        <w:t xml:space="preserve">of </w:t>
      </w:r>
      <w:r w:rsidRPr="00835ACD">
        <w:rPr>
          <w:rFonts w:eastAsiaTheme="minorHAnsi"/>
          <w:color w:val="000000" w:themeColor="text1"/>
          <w:lang w:val="en-US" w:eastAsia="en-US"/>
        </w:rPr>
        <w:t>Econ</w:t>
      </w:r>
      <w:r w:rsidR="004343B6" w:rsidRPr="00835ACD">
        <w:rPr>
          <w:rFonts w:eastAsiaTheme="minorHAnsi"/>
          <w:color w:val="000000" w:themeColor="text1"/>
          <w:lang w:val="en-US" w:eastAsia="en-US"/>
        </w:rPr>
        <w:t>onomic</w:t>
      </w:r>
      <w:r w:rsidRPr="00835ACD">
        <w:rPr>
          <w:rFonts w:eastAsiaTheme="minorHAnsi"/>
          <w:color w:val="000000" w:themeColor="text1"/>
          <w:lang w:val="en-US" w:eastAsia="en-US"/>
        </w:rPr>
        <w:t xml:space="preserve"> Paleon</w:t>
      </w:r>
      <w:r w:rsidR="004343B6" w:rsidRPr="00835ACD">
        <w:rPr>
          <w:rFonts w:eastAsiaTheme="minorHAnsi"/>
          <w:color w:val="000000" w:themeColor="text1"/>
          <w:lang w:val="en-US" w:eastAsia="en-US"/>
        </w:rPr>
        <w:t>tologists and</w:t>
      </w:r>
      <w:r w:rsidRPr="00835ACD">
        <w:rPr>
          <w:rFonts w:eastAsiaTheme="minorHAnsi"/>
          <w:color w:val="000000" w:themeColor="text1"/>
          <w:lang w:val="en-US" w:eastAsia="en-US"/>
        </w:rPr>
        <w:t xml:space="preserve"> Miner</w:t>
      </w:r>
      <w:r w:rsidR="004343B6" w:rsidRPr="00835ACD">
        <w:rPr>
          <w:rFonts w:eastAsiaTheme="minorHAnsi"/>
          <w:color w:val="000000" w:themeColor="text1"/>
          <w:lang w:val="en-US" w:eastAsia="en-US"/>
        </w:rPr>
        <w:t>alogist,</w:t>
      </w:r>
      <w:r w:rsidRPr="00835ACD">
        <w:rPr>
          <w:rFonts w:eastAsiaTheme="minorHAnsi"/>
          <w:color w:val="000000" w:themeColor="text1"/>
          <w:lang w:val="en-US" w:eastAsia="en-US"/>
        </w:rPr>
        <w:t xml:space="preserve"> Spec</w:t>
      </w:r>
      <w:r w:rsidR="004343B6" w:rsidRPr="00835ACD">
        <w:rPr>
          <w:rFonts w:eastAsiaTheme="minorHAnsi"/>
          <w:color w:val="000000" w:themeColor="text1"/>
          <w:lang w:val="en-US" w:eastAsia="en-US"/>
        </w:rPr>
        <w:t>ial</w:t>
      </w:r>
      <w:r w:rsidRPr="00835ACD">
        <w:rPr>
          <w:rFonts w:eastAsiaTheme="minorHAnsi"/>
          <w:color w:val="000000" w:themeColor="text1"/>
          <w:lang w:val="en-US" w:eastAsia="en-US"/>
        </w:rPr>
        <w:t xml:space="preserve"> Publ</w:t>
      </w:r>
      <w:r w:rsidR="004343B6" w:rsidRPr="00835ACD">
        <w:rPr>
          <w:rFonts w:eastAsiaTheme="minorHAnsi"/>
          <w:color w:val="000000" w:themeColor="text1"/>
          <w:lang w:val="en-US" w:eastAsia="en-US"/>
        </w:rPr>
        <w:t>ication</w:t>
      </w:r>
      <w:r w:rsidRPr="00835ACD">
        <w:rPr>
          <w:rFonts w:eastAsiaTheme="minorHAnsi"/>
          <w:color w:val="000000" w:themeColor="text1"/>
          <w:lang w:val="en-US" w:eastAsia="en-US"/>
        </w:rPr>
        <w:t xml:space="preserve"> 42, </w:t>
      </w:r>
      <w:r w:rsidR="004343B6" w:rsidRPr="00835ACD">
        <w:rPr>
          <w:rFonts w:eastAsiaTheme="minorHAnsi"/>
          <w:color w:val="000000" w:themeColor="text1"/>
          <w:lang w:val="en-US" w:eastAsia="en-US"/>
        </w:rPr>
        <w:t>p</w:t>
      </w:r>
      <w:r w:rsidRPr="00835ACD">
        <w:rPr>
          <w:rFonts w:eastAsiaTheme="minorHAnsi"/>
          <w:color w:val="000000" w:themeColor="text1"/>
          <w:lang w:val="en-US" w:eastAsia="en-US"/>
        </w:rPr>
        <w:t>. 109–124</w:t>
      </w:r>
      <w:r w:rsidR="00B02FD2" w:rsidRPr="00835ACD">
        <w:rPr>
          <w:rFonts w:eastAsiaTheme="minorHAnsi"/>
          <w:color w:val="000000" w:themeColor="text1"/>
          <w:lang w:val="en-US" w:eastAsia="en-US"/>
        </w:rPr>
        <w:t>.</w:t>
      </w:r>
      <w:r w:rsidR="00B02FD2" w:rsidRPr="00835ACD">
        <w:rPr>
          <w:color w:val="ED7D31" w:themeColor="accent2"/>
          <w:lang w:val="en-US"/>
        </w:rPr>
        <w:t xml:space="preserve"> </w:t>
      </w:r>
      <w:hyperlink r:id="rId13" w:history="1">
        <w:r w:rsidR="00B02FD2" w:rsidRPr="00835ACD">
          <w:rPr>
            <w:rStyle w:val="Hyperlink"/>
            <w:lang w:val="en-US"/>
          </w:rPr>
          <w:t>doi: 10.2110/PEC.88.01.0</w:t>
        </w:r>
        <w:r w:rsidR="009C1801" w:rsidRPr="00835ACD">
          <w:rPr>
            <w:rStyle w:val="Hyperlink"/>
            <w:lang w:val="en-US"/>
          </w:rPr>
          <w:t>109</w:t>
        </w:r>
      </w:hyperlink>
    </w:p>
    <w:p w14:paraId="6D807393" w14:textId="15F2F5E0" w:rsidR="008E1CDA" w:rsidRPr="00835ACD" w:rsidRDefault="008E1CDA" w:rsidP="003E6999">
      <w:pPr>
        <w:autoSpaceDE w:val="0"/>
        <w:autoSpaceDN w:val="0"/>
        <w:adjustRightInd w:val="0"/>
        <w:spacing w:after="120" w:line="480" w:lineRule="auto"/>
        <w:ind w:left="284" w:hanging="284"/>
        <w:jc w:val="both"/>
        <w:rPr>
          <w:rFonts w:eastAsiaTheme="minorHAnsi"/>
          <w:color w:val="000000" w:themeColor="text1"/>
          <w:lang w:val="en-US" w:eastAsia="en-US"/>
        </w:rPr>
      </w:pPr>
      <w:r w:rsidRPr="00835ACD">
        <w:rPr>
          <w:rFonts w:eastAsiaTheme="minorHAnsi"/>
          <w:color w:val="000000" w:themeColor="text1"/>
          <w:lang w:val="en-US" w:eastAsia="en-US"/>
        </w:rPr>
        <w:t>Posamentier, H.W., Jervey, M.T.,</w:t>
      </w:r>
      <w:r w:rsidR="007C557E" w:rsidRPr="00835ACD">
        <w:rPr>
          <w:rFonts w:eastAsiaTheme="minorHAnsi"/>
          <w:color w:val="000000" w:themeColor="text1"/>
          <w:lang w:val="en-US" w:eastAsia="en-US"/>
        </w:rPr>
        <w:t xml:space="preserve"> </w:t>
      </w:r>
      <w:r w:rsidR="004343B6" w:rsidRPr="00835ACD">
        <w:rPr>
          <w:rFonts w:eastAsiaTheme="minorHAnsi"/>
          <w:color w:val="000000" w:themeColor="text1"/>
          <w:lang w:val="en-US" w:eastAsia="en-US"/>
        </w:rPr>
        <w:t xml:space="preserve">and </w:t>
      </w:r>
      <w:r w:rsidRPr="00835ACD">
        <w:rPr>
          <w:rFonts w:eastAsiaTheme="minorHAnsi"/>
          <w:color w:val="000000" w:themeColor="text1"/>
          <w:lang w:val="en-US" w:eastAsia="en-US"/>
        </w:rPr>
        <w:t>Vail, P.R.,</w:t>
      </w:r>
      <w:r w:rsidR="00E42F84" w:rsidRPr="00835ACD">
        <w:rPr>
          <w:rFonts w:eastAsiaTheme="minorHAnsi"/>
          <w:color w:val="000000" w:themeColor="text1"/>
          <w:lang w:val="en-US" w:eastAsia="en-US"/>
        </w:rPr>
        <w:t xml:space="preserve"> </w:t>
      </w:r>
      <w:r w:rsidRPr="00835ACD">
        <w:rPr>
          <w:rFonts w:eastAsiaTheme="minorHAnsi"/>
          <w:color w:val="000000" w:themeColor="text1"/>
          <w:lang w:val="en-US" w:eastAsia="en-US"/>
        </w:rPr>
        <w:t>1988b.</w:t>
      </w:r>
      <w:r w:rsidR="00E42F84" w:rsidRPr="00835ACD">
        <w:rPr>
          <w:rFonts w:eastAsiaTheme="minorHAnsi"/>
          <w:color w:val="000000" w:themeColor="text1"/>
          <w:lang w:val="en-US" w:eastAsia="en-US"/>
        </w:rPr>
        <w:t xml:space="preserve"> </w:t>
      </w:r>
      <w:r w:rsidRPr="00835ACD">
        <w:rPr>
          <w:rFonts w:eastAsiaTheme="minorHAnsi"/>
          <w:color w:val="000000" w:themeColor="text1"/>
          <w:lang w:val="en-US" w:eastAsia="en-US"/>
        </w:rPr>
        <w:t>Eustatic controls</w:t>
      </w:r>
      <w:r w:rsidR="007C557E" w:rsidRPr="00835ACD">
        <w:rPr>
          <w:rFonts w:eastAsiaTheme="minorHAnsi"/>
          <w:color w:val="000000" w:themeColor="text1"/>
          <w:lang w:val="en-US" w:eastAsia="en-US"/>
        </w:rPr>
        <w:t xml:space="preserve"> </w:t>
      </w:r>
      <w:r w:rsidRPr="00835ACD">
        <w:rPr>
          <w:rFonts w:eastAsiaTheme="minorHAnsi"/>
          <w:color w:val="000000" w:themeColor="text1"/>
          <w:lang w:val="en-US" w:eastAsia="en-US"/>
        </w:rPr>
        <w:t>on</w:t>
      </w:r>
      <w:r w:rsidR="007C557E" w:rsidRPr="00835ACD">
        <w:rPr>
          <w:rFonts w:eastAsiaTheme="minorHAnsi"/>
          <w:color w:val="000000" w:themeColor="text1"/>
          <w:lang w:val="en-US" w:eastAsia="en-US"/>
        </w:rPr>
        <w:t xml:space="preserve"> </w:t>
      </w:r>
      <w:r w:rsidRPr="00835ACD">
        <w:rPr>
          <w:rFonts w:eastAsiaTheme="minorHAnsi"/>
          <w:color w:val="000000" w:themeColor="text1"/>
          <w:lang w:val="en-US" w:eastAsia="en-US"/>
        </w:rPr>
        <w:t>clastic</w:t>
      </w:r>
      <w:r w:rsidR="00E42F84" w:rsidRPr="00835ACD">
        <w:rPr>
          <w:rFonts w:eastAsiaTheme="minorHAnsi"/>
          <w:color w:val="000000" w:themeColor="text1"/>
          <w:lang w:val="en-US" w:eastAsia="en-US"/>
        </w:rPr>
        <w:t xml:space="preserve"> </w:t>
      </w:r>
      <w:r w:rsidRPr="00835ACD">
        <w:rPr>
          <w:rFonts w:eastAsiaTheme="minorHAnsi"/>
          <w:color w:val="000000" w:themeColor="text1"/>
          <w:lang w:val="en-US" w:eastAsia="en-US"/>
        </w:rPr>
        <w:t>deposition II – sequences and systems tract models</w:t>
      </w:r>
      <w:r w:rsidR="006633FF" w:rsidRPr="00835ACD">
        <w:rPr>
          <w:rFonts w:eastAsiaTheme="minorHAnsi"/>
          <w:color w:val="000000" w:themeColor="text1"/>
          <w:lang w:val="en-US" w:eastAsia="en-US"/>
        </w:rPr>
        <w:t>,</w:t>
      </w:r>
      <w:r w:rsidRPr="00835ACD">
        <w:rPr>
          <w:rFonts w:eastAsiaTheme="minorHAnsi"/>
          <w:color w:val="000000" w:themeColor="text1"/>
          <w:lang w:val="en-US" w:eastAsia="en-US"/>
        </w:rPr>
        <w:t xml:space="preserve"> </w:t>
      </w:r>
      <w:r w:rsidR="006633FF" w:rsidRPr="00835ACD">
        <w:rPr>
          <w:rFonts w:eastAsiaTheme="minorHAnsi"/>
          <w:i/>
          <w:iCs/>
          <w:color w:val="000000" w:themeColor="text1"/>
          <w:lang w:val="en-US" w:eastAsia="en-US"/>
        </w:rPr>
        <w:t>i</w:t>
      </w:r>
      <w:r w:rsidRPr="00835ACD">
        <w:rPr>
          <w:rFonts w:eastAsiaTheme="minorHAnsi"/>
          <w:i/>
          <w:iCs/>
          <w:color w:val="000000" w:themeColor="text1"/>
          <w:lang w:val="en-US" w:eastAsia="en-US"/>
        </w:rPr>
        <w:t>n:</w:t>
      </w:r>
      <w:r w:rsidRPr="00835ACD">
        <w:rPr>
          <w:rFonts w:eastAsiaTheme="minorHAnsi"/>
          <w:color w:val="000000" w:themeColor="text1"/>
          <w:lang w:val="en-US" w:eastAsia="en-US"/>
        </w:rPr>
        <w:t xml:space="preserve"> Wilgus, C.K., Hastings, B.S., Kendall, C.G., Posamentier, H.W., Ross, C.A., </w:t>
      </w:r>
      <w:r w:rsidR="004343B6" w:rsidRPr="00835ACD">
        <w:rPr>
          <w:rFonts w:eastAsiaTheme="minorHAnsi"/>
          <w:color w:val="000000" w:themeColor="text1"/>
          <w:lang w:val="en-US" w:eastAsia="en-US"/>
        </w:rPr>
        <w:t xml:space="preserve">and </w:t>
      </w:r>
      <w:r w:rsidRPr="00835ACD">
        <w:rPr>
          <w:rFonts w:eastAsiaTheme="minorHAnsi"/>
          <w:color w:val="000000" w:themeColor="text1"/>
          <w:lang w:val="en-US" w:eastAsia="en-US"/>
        </w:rPr>
        <w:t>Van Wagoner, J.C.</w:t>
      </w:r>
      <w:r w:rsidR="00B02FD2" w:rsidRPr="00835ACD">
        <w:rPr>
          <w:rFonts w:eastAsiaTheme="minorHAnsi"/>
          <w:color w:val="000000" w:themeColor="text1"/>
          <w:lang w:val="en-US" w:eastAsia="en-US"/>
        </w:rPr>
        <w:t>,</w:t>
      </w:r>
      <w:r w:rsidRPr="00835ACD">
        <w:rPr>
          <w:rFonts w:eastAsiaTheme="minorHAnsi"/>
          <w:color w:val="000000" w:themeColor="text1"/>
          <w:lang w:val="en-US" w:eastAsia="en-US"/>
        </w:rPr>
        <w:t xml:space="preserve"> </w:t>
      </w:r>
      <w:r w:rsidR="00B02FD2" w:rsidRPr="00835ACD">
        <w:rPr>
          <w:rFonts w:eastAsiaTheme="minorHAnsi"/>
          <w:color w:val="000000" w:themeColor="text1"/>
          <w:lang w:val="en-US" w:eastAsia="en-US"/>
        </w:rPr>
        <w:t xml:space="preserve">eds., </w:t>
      </w:r>
      <w:r w:rsidRPr="00835ACD">
        <w:rPr>
          <w:rFonts w:eastAsiaTheme="minorHAnsi"/>
          <w:color w:val="000000" w:themeColor="text1"/>
          <w:lang w:val="en-US" w:eastAsia="en-US"/>
        </w:rPr>
        <w:t>Sea Level Changes: an Integrated Approach</w:t>
      </w:r>
      <w:r w:rsidR="00B02FD2" w:rsidRPr="00835ACD">
        <w:rPr>
          <w:rFonts w:eastAsiaTheme="minorHAnsi"/>
          <w:color w:val="000000" w:themeColor="text1"/>
          <w:lang w:val="en-US" w:eastAsia="en-US"/>
        </w:rPr>
        <w:t>:</w:t>
      </w:r>
      <w:r w:rsidRPr="00835ACD">
        <w:rPr>
          <w:rFonts w:eastAsiaTheme="minorHAnsi"/>
          <w:color w:val="000000" w:themeColor="text1"/>
          <w:lang w:val="en-US" w:eastAsia="en-US"/>
        </w:rPr>
        <w:t xml:space="preserve"> </w:t>
      </w:r>
      <w:r w:rsidR="004343B6" w:rsidRPr="00835ACD">
        <w:rPr>
          <w:rFonts w:eastAsiaTheme="minorHAnsi"/>
          <w:color w:val="000000" w:themeColor="text1"/>
          <w:lang w:val="en-US" w:eastAsia="en-US"/>
        </w:rPr>
        <w:t>Society of Econonomic Paleontologists and Mineralogist, Special Publication</w:t>
      </w:r>
      <w:r w:rsidR="006633FF" w:rsidRPr="00835ACD">
        <w:rPr>
          <w:rFonts w:eastAsiaTheme="minorHAnsi"/>
          <w:color w:val="000000" w:themeColor="text1"/>
          <w:lang w:val="en-US" w:eastAsia="en-US"/>
        </w:rPr>
        <w:t xml:space="preserve"> </w:t>
      </w:r>
      <w:r w:rsidR="004343B6" w:rsidRPr="00835ACD">
        <w:rPr>
          <w:rFonts w:eastAsiaTheme="minorHAnsi"/>
          <w:color w:val="000000" w:themeColor="text1"/>
          <w:lang w:val="en-US" w:eastAsia="en-US"/>
        </w:rPr>
        <w:t>42, p.</w:t>
      </w:r>
      <w:r w:rsidRPr="00835ACD">
        <w:rPr>
          <w:rFonts w:eastAsiaTheme="minorHAnsi"/>
          <w:color w:val="000000" w:themeColor="text1"/>
          <w:lang w:val="en-US" w:eastAsia="en-US"/>
        </w:rPr>
        <w:t xml:space="preserve"> 125–154</w:t>
      </w:r>
      <w:r w:rsidR="00B02FD2" w:rsidRPr="00835ACD">
        <w:rPr>
          <w:rFonts w:eastAsiaTheme="minorHAnsi"/>
          <w:color w:val="000000" w:themeColor="text1"/>
          <w:lang w:val="en-US" w:eastAsia="en-US"/>
        </w:rPr>
        <w:t>.</w:t>
      </w:r>
      <w:r w:rsidR="00B02FD2" w:rsidRPr="00835ACD">
        <w:rPr>
          <w:color w:val="ED7D31" w:themeColor="accent2"/>
          <w:lang w:val="en-US"/>
        </w:rPr>
        <w:t xml:space="preserve"> </w:t>
      </w:r>
      <w:hyperlink r:id="rId14" w:history="1">
        <w:r w:rsidR="00B02FD2" w:rsidRPr="00835ACD">
          <w:rPr>
            <w:rStyle w:val="Hyperlink"/>
            <w:lang w:val="en-US"/>
          </w:rPr>
          <w:t>doi: 10.2110/PEC.88.01.0</w:t>
        </w:r>
        <w:r w:rsidR="009C1801" w:rsidRPr="00835ACD">
          <w:rPr>
            <w:rStyle w:val="Hyperlink"/>
            <w:lang w:val="en-US"/>
          </w:rPr>
          <w:t>125</w:t>
        </w:r>
      </w:hyperlink>
    </w:p>
    <w:p w14:paraId="345AC638" w14:textId="77777777" w:rsidR="001B42B6" w:rsidRPr="00835ACD" w:rsidRDefault="007671BF" w:rsidP="003E6999">
      <w:pPr>
        <w:spacing w:after="120" w:line="480" w:lineRule="auto"/>
        <w:ind w:left="284" w:hanging="284"/>
        <w:rPr>
          <w:lang w:val="en-US"/>
        </w:rPr>
      </w:pPr>
      <w:r w:rsidRPr="00835ACD">
        <w:rPr>
          <w:lang w:val="en-US"/>
        </w:rPr>
        <w:t>Rouby, D., Bonnet, S., Guillocheau, F., Gallagher, K., Robin, C., Biancotto, F., Dauteuil, O., and Braun, J., 2009, Sediment supply to the Orange sedimentary system over the last 150My: An evaluation from sedimentation/denudation balance: Marine and Petroleum Geology, v. 26, p. 782–794, doi:</w:t>
      </w:r>
      <w:hyperlink r:id="rId15" w:history="1">
        <w:r w:rsidRPr="00835ACD">
          <w:rPr>
            <w:rStyle w:val="Hyperlink"/>
            <w:rFonts w:eastAsiaTheme="majorEastAsia"/>
            <w:lang w:val="en-US"/>
          </w:rPr>
          <w:t>10.1016/j.marpetgeo.2008.08.004</w:t>
        </w:r>
      </w:hyperlink>
      <w:r w:rsidRPr="00835ACD">
        <w:rPr>
          <w:lang w:val="en-US"/>
        </w:rPr>
        <w:t>.</w:t>
      </w:r>
    </w:p>
    <w:p w14:paraId="016E3F19" w14:textId="0FEDFCA4" w:rsidR="00036BEC" w:rsidRPr="00835ACD" w:rsidRDefault="00036BEC" w:rsidP="003E6999">
      <w:pPr>
        <w:spacing w:after="120" w:line="480" w:lineRule="auto"/>
        <w:ind w:left="284" w:hanging="284"/>
        <w:rPr>
          <w:lang w:val="en-US"/>
        </w:rPr>
      </w:pPr>
      <w:r w:rsidRPr="00835ACD">
        <w:rPr>
          <w:lang w:val="en-US"/>
        </w:rPr>
        <w:t xml:space="preserve">Sadler, P.M., </w:t>
      </w:r>
      <w:r w:rsidRPr="00835ACD">
        <w:rPr>
          <w:rFonts w:eastAsiaTheme="minorHAnsi"/>
          <w:color w:val="000000"/>
          <w:lang w:val="en-US" w:eastAsia="en-US"/>
        </w:rPr>
        <w:t>The Influence of Hiatuses on Sediment Accumulation Rates</w:t>
      </w:r>
      <w:r w:rsidRPr="00835ACD">
        <w:rPr>
          <w:lang w:val="en-US"/>
        </w:rPr>
        <w:t>. 1999 GeoResearch Forum V. 5 15-40.</w:t>
      </w:r>
    </w:p>
    <w:p w14:paraId="471593D8" w14:textId="04F137B4" w:rsidR="00A62634" w:rsidRPr="00835ACD" w:rsidRDefault="00A62634" w:rsidP="003E6999">
      <w:pPr>
        <w:autoSpaceDE w:val="0"/>
        <w:autoSpaceDN w:val="0"/>
        <w:adjustRightInd w:val="0"/>
        <w:spacing w:after="120" w:line="480" w:lineRule="auto"/>
        <w:ind w:left="284" w:hanging="284"/>
        <w:jc w:val="both"/>
        <w:rPr>
          <w:rFonts w:eastAsiaTheme="minorHAnsi"/>
          <w:lang w:val="en-US" w:eastAsia="en-US"/>
        </w:rPr>
      </w:pPr>
      <w:r w:rsidRPr="00835ACD">
        <w:rPr>
          <w:rFonts w:eastAsiaTheme="minorHAnsi"/>
          <w:lang w:val="en-US" w:eastAsia="en-US"/>
        </w:rPr>
        <w:lastRenderedPageBreak/>
        <w:t>Vail, P., Audemard, F., Bowman, S., Eisner, P., Perez-Cruz, C., 1991. The Stratigraphic Signatures of Tectonics, Eustasy and Sedimentology – an Overview: Cycles and Events in Stratigraphy, pp. 617–659.</w:t>
      </w:r>
    </w:p>
    <w:p w14:paraId="076864DB" w14:textId="2EB2C4A4" w:rsidR="00E30A4C" w:rsidRPr="00835ACD" w:rsidRDefault="00E30A4C" w:rsidP="003E6999">
      <w:pPr>
        <w:spacing w:after="120" w:line="480" w:lineRule="auto"/>
        <w:ind w:left="284" w:hanging="284"/>
        <w:jc w:val="both"/>
        <w:rPr>
          <w:color w:val="ED7D31" w:themeColor="accent2"/>
          <w:lang w:val="en-US"/>
        </w:rPr>
      </w:pPr>
      <w:r w:rsidRPr="00835ACD">
        <w:rPr>
          <w:color w:val="000000" w:themeColor="text1"/>
          <w:lang w:val="en-US"/>
        </w:rPr>
        <w:t>Van Wagoner</w:t>
      </w:r>
      <w:r w:rsidR="008F4434" w:rsidRPr="00835ACD">
        <w:rPr>
          <w:color w:val="000000" w:themeColor="text1"/>
          <w:lang w:val="en-US"/>
        </w:rPr>
        <w:t xml:space="preserve">, J. C., </w:t>
      </w:r>
      <w:r w:rsidRPr="00835ACD">
        <w:rPr>
          <w:color w:val="000000" w:themeColor="text1"/>
          <w:lang w:val="en-US"/>
        </w:rPr>
        <w:t>Posamentier</w:t>
      </w:r>
      <w:r w:rsidR="008F4434" w:rsidRPr="00835ACD">
        <w:rPr>
          <w:color w:val="000000" w:themeColor="text1"/>
          <w:lang w:val="en-US"/>
        </w:rPr>
        <w:t xml:space="preserve">, H. W., </w:t>
      </w:r>
      <w:r w:rsidRPr="00835ACD">
        <w:rPr>
          <w:color w:val="000000" w:themeColor="text1"/>
          <w:lang w:val="en-US"/>
        </w:rPr>
        <w:t>Mitchum</w:t>
      </w:r>
      <w:r w:rsidR="008F4434" w:rsidRPr="00835ACD">
        <w:rPr>
          <w:color w:val="000000" w:themeColor="text1"/>
          <w:lang w:val="en-US"/>
        </w:rPr>
        <w:t xml:space="preserve">, R. M., </w:t>
      </w:r>
      <w:r w:rsidRPr="00835ACD">
        <w:rPr>
          <w:color w:val="000000" w:themeColor="text1"/>
          <w:lang w:val="en-US"/>
        </w:rPr>
        <w:t>Vail</w:t>
      </w:r>
      <w:r w:rsidR="008F4434" w:rsidRPr="00835ACD">
        <w:rPr>
          <w:color w:val="000000" w:themeColor="text1"/>
          <w:lang w:val="en-US"/>
        </w:rPr>
        <w:t xml:space="preserve">, P. R., </w:t>
      </w:r>
      <w:r w:rsidRPr="00835ACD">
        <w:rPr>
          <w:color w:val="000000" w:themeColor="text1"/>
          <w:lang w:val="en-US"/>
        </w:rPr>
        <w:t>Sarg</w:t>
      </w:r>
      <w:r w:rsidR="008F4434" w:rsidRPr="00835ACD">
        <w:rPr>
          <w:color w:val="000000" w:themeColor="text1"/>
          <w:lang w:val="en-US"/>
        </w:rPr>
        <w:t xml:space="preserve">, J. F., </w:t>
      </w:r>
      <w:r w:rsidR="009536DB" w:rsidRPr="00835ACD">
        <w:rPr>
          <w:color w:val="000000" w:themeColor="text1"/>
          <w:lang w:val="en-US"/>
        </w:rPr>
        <w:t>Loustit, T.S.</w:t>
      </w:r>
      <w:r w:rsidR="008F4434" w:rsidRPr="00835ACD">
        <w:rPr>
          <w:color w:val="000000" w:themeColor="text1"/>
          <w:lang w:val="en-US"/>
        </w:rPr>
        <w:t xml:space="preserve"> </w:t>
      </w:r>
      <w:r w:rsidR="00B02FD2" w:rsidRPr="00835ACD">
        <w:rPr>
          <w:color w:val="000000" w:themeColor="text1"/>
          <w:lang w:val="en-US"/>
        </w:rPr>
        <w:t xml:space="preserve">and </w:t>
      </w:r>
      <w:r w:rsidRPr="00835ACD">
        <w:rPr>
          <w:color w:val="000000" w:themeColor="text1"/>
          <w:lang w:val="en-US"/>
        </w:rPr>
        <w:t>Hardenbol</w:t>
      </w:r>
      <w:r w:rsidR="008F4434" w:rsidRPr="00835ACD">
        <w:rPr>
          <w:color w:val="000000" w:themeColor="text1"/>
          <w:lang w:val="en-US"/>
        </w:rPr>
        <w:t>, J.</w:t>
      </w:r>
      <w:r w:rsidR="00B02FD2" w:rsidRPr="00835ACD">
        <w:rPr>
          <w:color w:val="000000" w:themeColor="text1"/>
          <w:lang w:val="en-US"/>
        </w:rPr>
        <w:t>,</w:t>
      </w:r>
      <w:r w:rsidR="008F4434" w:rsidRPr="00835ACD">
        <w:rPr>
          <w:color w:val="000000" w:themeColor="text1"/>
          <w:lang w:val="en-US"/>
        </w:rPr>
        <w:t xml:space="preserve"> 1988</w:t>
      </w:r>
      <w:r w:rsidR="00B02FD2" w:rsidRPr="00835ACD">
        <w:rPr>
          <w:color w:val="000000" w:themeColor="text1"/>
          <w:lang w:val="en-US"/>
        </w:rPr>
        <w:t>,</w:t>
      </w:r>
      <w:r w:rsidR="008F4434" w:rsidRPr="00835ACD">
        <w:rPr>
          <w:color w:val="000000" w:themeColor="text1"/>
          <w:lang w:val="en-US"/>
        </w:rPr>
        <w:t xml:space="preserve"> </w:t>
      </w:r>
      <w:r w:rsidRPr="00835ACD">
        <w:rPr>
          <w:color w:val="000000" w:themeColor="text1"/>
          <w:lang w:val="en-US"/>
        </w:rPr>
        <w:t xml:space="preserve">An </w:t>
      </w:r>
      <w:r w:rsidR="009536DB" w:rsidRPr="00835ACD">
        <w:rPr>
          <w:color w:val="000000" w:themeColor="text1"/>
          <w:lang w:val="en-US"/>
        </w:rPr>
        <w:t>o</w:t>
      </w:r>
      <w:r w:rsidRPr="00835ACD">
        <w:rPr>
          <w:color w:val="000000" w:themeColor="text1"/>
          <w:lang w:val="en-US"/>
        </w:rPr>
        <w:t xml:space="preserve">verview </w:t>
      </w:r>
      <w:r w:rsidR="009536DB" w:rsidRPr="00835ACD">
        <w:rPr>
          <w:color w:val="000000" w:themeColor="text1"/>
          <w:lang w:val="en-US"/>
        </w:rPr>
        <w:t>o</w:t>
      </w:r>
      <w:r w:rsidRPr="00835ACD">
        <w:rPr>
          <w:color w:val="000000" w:themeColor="text1"/>
          <w:lang w:val="en-US"/>
        </w:rPr>
        <w:t xml:space="preserve">f </w:t>
      </w:r>
      <w:r w:rsidR="009536DB" w:rsidRPr="00835ACD">
        <w:rPr>
          <w:color w:val="000000" w:themeColor="text1"/>
          <w:lang w:val="en-US"/>
        </w:rPr>
        <w:t>t</w:t>
      </w:r>
      <w:r w:rsidRPr="00835ACD">
        <w:rPr>
          <w:color w:val="000000" w:themeColor="text1"/>
          <w:lang w:val="en-US"/>
        </w:rPr>
        <w:t xml:space="preserve">he </w:t>
      </w:r>
      <w:r w:rsidR="009536DB" w:rsidRPr="00835ACD">
        <w:rPr>
          <w:color w:val="000000" w:themeColor="text1"/>
          <w:lang w:val="en-US"/>
        </w:rPr>
        <w:t>f</w:t>
      </w:r>
      <w:r w:rsidRPr="00835ACD">
        <w:rPr>
          <w:color w:val="000000" w:themeColor="text1"/>
          <w:lang w:val="en-US"/>
        </w:rPr>
        <w:t xml:space="preserve">undamentals </w:t>
      </w:r>
      <w:r w:rsidR="009536DB" w:rsidRPr="00835ACD">
        <w:rPr>
          <w:color w:val="000000" w:themeColor="text1"/>
          <w:lang w:val="en-US"/>
        </w:rPr>
        <w:t>o</w:t>
      </w:r>
      <w:r w:rsidRPr="00835ACD">
        <w:rPr>
          <w:color w:val="000000" w:themeColor="text1"/>
          <w:lang w:val="en-US"/>
        </w:rPr>
        <w:t xml:space="preserve">f Sequence Stratigraphy </w:t>
      </w:r>
      <w:r w:rsidR="009536DB" w:rsidRPr="00835ACD">
        <w:rPr>
          <w:color w:val="000000" w:themeColor="text1"/>
          <w:lang w:val="en-US"/>
        </w:rPr>
        <w:t>a</w:t>
      </w:r>
      <w:r w:rsidRPr="00835ACD">
        <w:rPr>
          <w:color w:val="000000" w:themeColor="text1"/>
          <w:lang w:val="en-US"/>
        </w:rPr>
        <w:t xml:space="preserve">nd </w:t>
      </w:r>
      <w:r w:rsidR="009536DB" w:rsidRPr="00835ACD">
        <w:rPr>
          <w:color w:val="000000" w:themeColor="text1"/>
          <w:lang w:val="en-US"/>
        </w:rPr>
        <w:t>k</w:t>
      </w:r>
      <w:r w:rsidRPr="00835ACD">
        <w:rPr>
          <w:color w:val="000000" w:themeColor="text1"/>
          <w:lang w:val="en-US"/>
        </w:rPr>
        <w:t xml:space="preserve">ey </w:t>
      </w:r>
      <w:r w:rsidR="009536DB" w:rsidRPr="00835ACD">
        <w:rPr>
          <w:color w:val="000000" w:themeColor="text1"/>
          <w:lang w:val="en-US"/>
        </w:rPr>
        <w:t>d</w:t>
      </w:r>
      <w:r w:rsidRPr="00835ACD">
        <w:rPr>
          <w:color w:val="000000" w:themeColor="text1"/>
          <w:lang w:val="en-US"/>
        </w:rPr>
        <w:t>efinitions</w:t>
      </w:r>
      <w:r w:rsidR="00B02FD2" w:rsidRPr="00835ACD">
        <w:rPr>
          <w:rFonts w:eastAsiaTheme="minorHAnsi"/>
          <w:i/>
          <w:iCs/>
          <w:color w:val="000000" w:themeColor="text1"/>
          <w:lang w:val="en-US" w:eastAsia="en-US"/>
        </w:rPr>
        <w:t xml:space="preserve"> in:</w:t>
      </w:r>
      <w:r w:rsidR="00B02FD2" w:rsidRPr="00835ACD">
        <w:rPr>
          <w:rFonts w:eastAsiaTheme="minorHAnsi"/>
          <w:color w:val="000000" w:themeColor="text1"/>
          <w:lang w:val="en-US" w:eastAsia="en-US"/>
        </w:rPr>
        <w:t xml:space="preserve"> Wilgus, C.K., Hastings, B.S., Kendall, C.G., Posamentier, H.W., Ross, C.A., and Van Wagoner, J.C., eds., Sea Level Changes: an Integrated Approach: Society of Econonomic Paleontologists and Mineralogist, Special Publication 42, p. </w:t>
      </w:r>
      <w:r w:rsidR="008F4434" w:rsidRPr="00835ACD">
        <w:rPr>
          <w:color w:val="000000" w:themeColor="text1"/>
          <w:lang w:val="en-US"/>
        </w:rPr>
        <w:t xml:space="preserve">39–45. </w:t>
      </w:r>
      <w:hyperlink r:id="rId16" w:history="1">
        <w:r w:rsidR="00B02FD2" w:rsidRPr="00835ACD">
          <w:rPr>
            <w:rStyle w:val="Hyperlink"/>
            <w:lang w:val="en-US"/>
          </w:rPr>
          <w:t>doi: 10.2110/PEC.88.01.0039</w:t>
        </w:r>
      </w:hyperlink>
    </w:p>
    <w:p w14:paraId="710E3045" w14:textId="77777777" w:rsidR="007671BF" w:rsidRPr="00835ACD" w:rsidRDefault="007671BF" w:rsidP="003E6999">
      <w:pPr>
        <w:spacing w:after="120" w:line="480" w:lineRule="auto"/>
        <w:ind w:left="284" w:hanging="284"/>
        <w:rPr>
          <w:lang w:val="en-US"/>
        </w:rPr>
      </w:pPr>
      <w:r w:rsidRPr="00835ACD">
        <w:rPr>
          <w:lang w:val="en-US"/>
        </w:rPr>
        <w:t>Ye, J., Chardon, D., Rouby, D., Guillocheau, F., Dall’asta, M., Ferry, J.-N., and Broucke, O., 2017, Paleogeographic and structural evolution of northwestern Africa and its Atlantic margins since the early Mesozoic: Geosphere, p. GES01426.1, doi:</w:t>
      </w:r>
      <w:hyperlink r:id="rId17" w:history="1">
        <w:r w:rsidRPr="00835ACD">
          <w:rPr>
            <w:rStyle w:val="Hyperlink"/>
            <w:rFonts w:eastAsiaTheme="majorEastAsia"/>
            <w:lang w:val="en-US"/>
          </w:rPr>
          <w:t>10.1130/GES01426.1</w:t>
        </w:r>
      </w:hyperlink>
      <w:r w:rsidRPr="00835ACD">
        <w:rPr>
          <w:lang w:val="en-US"/>
        </w:rPr>
        <w:t>.</w:t>
      </w:r>
    </w:p>
    <w:p w14:paraId="7577DB1B" w14:textId="77777777" w:rsidR="009D3949" w:rsidRPr="00835ACD" w:rsidRDefault="009D3949" w:rsidP="001113E1">
      <w:pPr>
        <w:spacing w:line="480" w:lineRule="auto"/>
        <w:rPr>
          <w:lang w:val="en-US"/>
        </w:rPr>
      </w:pPr>
      <w:r w:rsidRPr="00835ACD">
        <w:rPr>
          <w:lang w:val="en-US"/>
        </w:rPr>
        <w:br w:type="page"/>
      </w:r>
    </w:p>
    <w:p w14:paraId="017216D8" w14:textId="1F7D035D" w:rsidR="009D3949" w:rsidRPr="00835ACD" w:rsidRDefault="009D3949" w:rsidP="001113E1">
      <w:pPr>
        <w:pStyle w:val="GSAcaption"/>
        <w:rPr>
          <w:b/>
          <w:bCs/>
          <w:lang w:val="en-US"/>
        </w:rPr>
      </w:pPr>
      <w:r w:rsidRPr="00835ACD">
        <w:rPr>
          <w:b/>
          <w:bCs/>
          <w:lang w:val="en-US"/>
        </w:rPr>
        <w:lastRenderedPageBreak/>
        <w:t>TABLE CAPTIONS</w:t>
      </w:r>
    </w:p>
    <w:p w14:paraId="4CEB1642" w14:textId="247ECF71" w:rsidR="00A500CC" w:rsidRDefault="00DB2823" w:rsidP="003E6999">
      <w:pPr>
        <w:spacing w:after="120" w:line="480" w:lineRule="auto"/>
        <w:jc w:val="both"/>
        <w:rPr>
          <w:color w:val="000000" w:themeColor="text1"/>
          <w:lang w:val="en-US"/>
        </w:rPr>
      </w:pPr>
      <w:r w:rsidRPr="00835ACD">
        <w:rPr>
          <w:color w:val="000000" w:themeColor="text1"/>
          <w:lang w:val="en-US"/>
        </w:rPr>
        <w:t>Table S1: Polynomial law</w:t>
      </w:r>
      <w:r w:rsidR="008B7348">
        <w:rPr>
          <w:color w:val="000000" w:themeColor="text1"/>
          <w:lang w:val="en-US"/>
        </w:rPr>
        <w:t>s</w:t>
      </w:r>
      <w:r w:rsidRPr="00835ACD">
        <w:rPr>
          <w:color w:val="000000" w:themeColor="text1"/>
          <w:lang w:val="en-US"/>
        </w:rPr>
        <w:t xml:space="preserve"> used for the depth conversion of the isopachs shown in Figure 5. CABU: Central Atlantic Break-up Unconformity. EABU: Equatorial Atlantic Break-up Unconformity.</w:t>
      </w:r>
      <w:r w:rsidR="00A500CC">
        <w:rPr>
          <w:color w:val="000000" w:themeColor="text1"/>
          <w:lang w:val="en-US"/>
        </w:rPr>
        <w:t xml:space="preserve"> T1 and T2 are the maps in TWT (two-way travel time) of the top and bottom horizons of the considered interval. V1 and V2 are the velocity maps of the top and bottom horizons of the considered interval. These maps are </w:t>
      </w:r>
      <w:r w:rsidR="009F4D82">
        <w:rPr>
          <w:color w:val="000000" w:themeColor="text1"/>
          <w:lang w:val="en-US"/>
        </w:rPr>
        <w:t>proprietary</w:t>
      </w:r>
      <w:r w:rsidR="00A500CC">
        <w:rPr>
          <w:color w:val="000000" w:themeColor="text1"/>
          <w:lang w:val="en-US"/>
        </w:rPr>
        <w:t xml:space="preserve"> and cannot be published.</w:t>
      </w:r>
    </w:p>
    <w:p w14:paraId="7784C3D3" w14:textId="77777777" w:rsidR="00A500CC" w:rsidRPr="00835ACD" w:rsidRDefault="00A500CC" w:rsidP="003E6999">
      <w:pPr>
        <w:spacing w:after="120" w:line="480" w:lineRule="auto"/>
        <w:jc w:val="both"/>
        <w:rPr>
          <w:color w:val="000000" w:themeColor="text1"/>
          <w:lang w:val="en-US"/>
        </w:rPr>
      </w:pPr>
    </w:p>
    <w:p w14:paraId="133AE79E" w14:textId="1995802E" w:rsidR="00DB2823" w:rsidRDefault="00DB2823" w:rsidP="003E6999">
      <w:pPr>
        <w:spacing w:after="120" w:line="480" w:lineRule="auto"/>
        <w:jc w:val="both"/>
        <w:rPr>
          <w:color w:val="000000" w:themeColor="text1"/>
          <w:lang w:val="en-US"/>
        </w:rPr>
      </w:pPr>
      <w:r w:rsidRPr="00835ACD">
        <w:rPr>
          <w:color w:val="000000" w:themeColor="text1"/>
          <w:lang w:val="en-US"/>
        </w:rPr>
        <w:t xml:space="preserve">Table S2: Variability in the seismic velocities for each time interval used to estimate uncertainties in accumulated volumes and accumulation rates </w:t>
      </w:r>
      <w:r w:rsidR="00F13E59">
        <w:rPr>
          <w:color w:val="000000" w:themeColor="text1"/>
          <w:lang w:val="en-US"/>
        </w:rPr>
        <w:t xml:space="preserve">shown </w:t>
      </w:r>
      <w:r w:rsidRPr="00835ACD">
        <w:rPr>
          <w:color w:val="000000" w:themeColor="text1"/>
          <w:lang w:val="en-US"/>
        </w:rPr>
        <w:t xml:space="preserve">in Figure </w:t>
      </w:r>
      <w:r w:rsidR="008B7348">
        <w:rPr>
          <w:color w:val="000000" w:themeColor="text1"/>
          <w:lang w:val="en-US"/>
        </w:rPr>
        <w:t>4</w:t>
      </w:r>
      <w:r w:rsidRPr="00835ACD">
        <w:rPr>
          <w:color w:val="000000" w:themeColor="text1"/>
          <w:lang w:val="en-US"/>
        </w:rPr>
        <w:t>.</w:t>
      </w:r>
    </w:p>
    <w:p w14:paraId="33C8108D" w14:textId="77777777" w:rsidR="00F13E59" w:rsidRPr="00835ACD" w:rsidRDefault="00F13E59" w:rsidP="003E6999">
      <w:pPr>
        <w:spacing w:after="120" w:line="480" w:lineRule="auto"/>
        <w:jc w:val="both"/>
        <w:rPr>
          <w:color w:val="000000" w:themeColor="text1"/>
          <w:lang w:val="en-US"/>
        </w:rPr>
      </w:pPr>
    </w:p>
    <w:p w14:paraId="253286EC" w14:textId="3F6B6F97" w:rsidR="00DB2823" w:rsidRDefault="00DB2823" w:rsidP="003E6999">
      <w:pPr>
        <w:spacing w:after="120" w:line="480" w:lineRule="auto"/>
        <w:jc w:val="both"/>
        <w:rPr>
          <w:color w:val="000000" w:themeColor="text1"/>
          <w:lang w:val="en-US"/>
        </w:rPr>
      </w:pPr>
      <w:r w:rsidRPr="00835ACD">
        <w:rPr>
          <w:color w:val="000000" w:themeColor="text1"/>
          <w:lang w:val="en-US"/>
        </w:rPr>
        <w:t>Table S3: CaC03 and volcanic contents use</w:t>
      </w:r>
      <w:r w:rsidR="003A4B2A">
        <w:rPr>
          <w:color w:val="000000" w:themeColor="text1"/>
          <w:lang w:val="en-US"/>
        </w:rPr>
        <w:t>d</w:t>
      </w:r>
      <w:r w:rsidRPr="00835ACD">
        <w:rPr>
          <w:color w:val="000000" w:themeColor="text1"/>
          <w:lang w:val="en-US"/>
        </w:rPr>
        <w:t xml:space="preserve"> for the in-situ correction of the </w:t>
      </w:r>
      <w:r w:rsidR="0092094E">
        <w:rPr>
          <w:color w:val="000000" w:themeColor="text1"/>
          <w:lang w:val="en-US"/>
        </w:rPr>
        <w:t xml:space="preserve">raw </w:t>
      </w:r>
      <w:r w:rsidRPr="00835ACD">
        <w:rPr>
          <w:color w:val="000000" w:themeColor="text1"/>
          <w:lang w:val="en-US"/>
        </w:rPr>
        <w:t xml:space="preserve">accumulated volumes and accumulation rates shown in Figure </w:t>
      </w:r>
      <w:r w:rsidR="008B7348">
        <w:rPr>
          <w:color w:val="000000" w:themeColor="text1"/>
          <w:lang w:val="en-US"/>
        </w:rPr>
        <w:t>4</w:t>
      </w:r>
      <w:r w:rsidRPr="00835ACD">
        <w:rPr>
          <w:color w:val="000000" w:themeColor="text1"/>
          <w:lang w:val="en-US"/>
        </w:rPr>
        <w:t>.</w:t>
      </w:r>
    </w:p>
    <w:p w14:paraId="09C5ACC9" w14:textId="77777777" w:rsidR="00B73E6E" w:rsidRPr="00835ACD" w:rsidRDefault="00B73E6E" w:rsidP="003E6999">
      <w:pPr>
        <w:spacing w:after="120" w:line="480" w:lineRule="auto"/>
        <w:jc w:val="both"/>
        <w:rPr>
          <w:color w:val="000000" w:themeColor="text1"/>
          <w:lang w:val="en-US"/>
        </w:rPr>
      </w:pPr>
    </w:p>
    <w:p w14:paraId="1B67D747" w14:textId="53E82FD8" w:rsidR="003A4B2A" w:rsidRDefault="00AF21D0" w:rsidP="003A4B2A">
      <w:pPr>
        <w:spacing w:after="120" w:line="480" w:lineRule="auto"/>
        <w:jc w:val="both"/>
        <w:rPr>
          <w:color w:val="000000" w:themeColor="text1"/>
          <w:lang w:val="en-US"/>
        </w:rPr>
      </w:pPr>
      <w:r w:rsidRPr="00835ACD">
        <w:rPr>
          <w:color w:val="000000" w:themeColor="text1"/>
          <w:lang w:val="en-US"/>
        </w:rPr>
        <w:t>Table S4: Calibration of horizons in absolute ages and associated uncertainties</w:t>
      </w:r>
      <w:r w:rsidR="003A4B2A">
        <w:rPr>
          <w:color w:val="000000" w:themeColor="text1"/>
          <w:lang w:val="en-US"/>
        </w:rPr>
        <w:t xml:space="preserve"> </w:t>
      </w:r>
      <w:r w:rsidR="003A4B2A" w:rsidRPr="00835ACD">
        <w:rPr>
          <w:color w:val="000000" w:themeColor="text1"/>
          <w:lang w:val="en-US"/>
        </w:rPr>
        <w:t>use</w:t>
      </w:r>
      <w:r w:rsidR="003A4B2A">
        <w:rPr>
          <w:color w:val="000000" w:themeColor="text1"/>
          <w:lang w:val="en-US"/>
        </w:rPr>
        <w:t>d</w:t>
      </w:r>
      <w:r w:rsidR="003A4B2A" w:rsidRPr="00835ACD">
        <w:rPr>
          <w:color w:val="000000" w:themeColor="text1"/>
          <w:lang w:val="en-US"/>
        </w:rPr>
        <w:t xml:space="preserve"> for </w:t>
      </w:r>
      <w:r w:rsidR="003A4B2A">
        <w:rPr>
          <w:color w:val="000000" w:themeColor="text1"/>
          <w:lang w:val="en-US"/>
        </w:rPr>
        <w:t xml:space="preserve">the calculation </w:t>
      </w:r>
      <w:r w:rsidR="003A4B2A" w:rsidRPr="00835ACD">
        <w:rPr>
          <w:color w:val="000000" w:themeColor="text1"/>
          <w:lang w:val="en-US"/>
        </w:rPr>
        <w:t>accumulation rates</w:t>
      </w:r>
      <w:r w:rsidR="000A4294">
        <w:rPr>
          <w:color w:val="000000" w:themeColor="text1"/>
          <w:lang w:val="en-US"/>
        </w:rPr>
        <w:t xml:space="preserve"> and associated uncertainties</w:t>
      </w:r>
      <w:r w:rsidR="003A4B2A" w:rsidRPr="00835ACD">
        <w:rPr>
          <w:color w:val="000000" w:themeColor="text1"/>
          <w:lang w:val="en-US"/>
        </w:rPr>
        <w:t xml:space="preserve"> shown in Figure </w:t>
      </w:r>
      <w:r w:rsidR="003A4B2A">
        <w:rPr>
          <w:color w:val="000000" w:themeColor="text1"/>
          <w:lang w:val="en-US"/>
        </w:rPr>
        <w:t>4</w:t>
      </w:r>
      <w:r w:rsidR="003A4B2A" w:rsidRPr="00835ACD">
        <w:rPr>
          <w:color w:val="000000" w:themeColor="text1"/>
          <w:lang w:val="en-US"/>
        </w:rPr>
        <w:t>.</w:t>
      </w:r>
    </w:p>
    <w:p w14:paraId="6CACE21D" w14:textId="77777777" w:rsidR="003A4B2A" w:rsidRPr="00835ACD" w:rsidRDefault="003A4B2A" w:rsidP="003E6999">
      <w:pPr>
        <w:spacing w:after="120" w:line="480" w:lineRule="auto"/>
        <w:jc w:val="both"/>
        <w:rPr>
          <w:color w:val="000000" w:themeColor="text1"/>
          <w:lang w:val="en-US"/>
        </w:rPr>
      </w:pPr>
    </w:p>
    <w:p w14:paraId="3AB9846C" w14:textId="0121FFC1" w:rsidR="00475071" w:rsidRDefault="00475071" w:rsidP="003E6999">
      <w:pPr>
        <w:spacing w:after="120" w:line="480" w:lineRule="auto"/>
        <w:jc w:val="both"/>
        <w:rPr>
          <w:color w:val="000000" w:themeColor="text1"/>
          <w:lang w:val="en-US"/>
        </w:rPr>
      </w:pPr>
      <w:r w:rsidRPr="00835ACD">
        <w:rPr>
          <w:color w:val="000000" w:themeColor="text1"/>
          <w:lang w:val="en-US"/>
        </w:rPr>
        <w:t>Table S5: Accumulated volumes</w:t>
      </w:r>
      <w:r w:rsidR="00AF0987">
        <w:rPr>
          <w:color w:val="000000" w:themeColor="text1"/>
          <w:lang w:val="en-US"/>
        </w:rPr>
        <w:t xml:space="preserve">, </w:t>
      </w:r>
      <w:r w:rsidRPr="00835ACD">
        <w:rPr>
          <w:color w:val="000000" w:themeColor="text1"/>
          <w:lang w:val="en-US"/>
        </w:rPr>
        <w:t xml:space="preserve">accumulation rates and associated uncertainties for </w:t>
      </w:r>
      <w:r w:rsidR="00AE36FF">
        <w:rPr>
          <w:color w:val="000000" w:themeColor="text1"/>
          <w:lang w:val="en-US"/>
        </w:rPr>
        <w:t xml:space="preserve">the </w:t>
      </w:r>
      <w:r w:rsidRPr="00835ACD">
        <w:rPr>
          <w:color w:val="000000" w:themeColor="text1"/>
          <w:lang w:val="en-US"/>
        </w:rPr>
        <w:t xml:space="preserve">GS basin, </w:t>
      </w:r>
      <w:r w:rsidR="00AE36FF">
        <w:rPr>
          <w:color w:val="000000" w:themeColor="text1"/>
          <w:lang w:val="en-US"/>
        </w:rPr>
        <w:t xml:space="preserve">the </w:t>
      </w:r>
      <w:r w:rsidRPr="00835ACD">
        <w:rPr>
          <w:color w:val="000000" w:themeColor="text1"/>
          <w:lang w:val="en-US"/>
        </w:rPr>
        <w:t>FOZ</w:t>
      </w:r>
      <w:r w:rsidR="00AE36FF">
        <w:rPr>
          <w:color w:val="000000" w:themeColor="text1"/>
          <w:lang w:val="en-US"/>
        </w:rPr>
        <w:t xml:space="preserve"> and </w:t>
      </w:r>
      <w:r w:rsidRPr="00835ACD">
        <w:rPr>
          <w:color w:val="000000" w:themeColor="text1"/>
          <w:lang w:val="en-US"/>
        </w:rPr>
        <w:t>DEM basins and total. The values high-lighted in gray are minimal values for which the volcanic/clastic ratio is unknown.</w:t>
      </w:r>
    </w:p>
    <w:p w14:paraId="6B0D9EAD" w14:textId="77777777" w:rsidR="00AF0987" w:rsidRPr="00835ACD" w:rsidRDefault="00AF0987" w:rsidP="003E6999">
      <w:pPr>
        <w:spacing w:after="120" w:line="480" w:lineRule="auto"/>
        <w:jc w:val="both"/>
        <w:rPr>
          <w:color w:val="000000" w:themeColor="text1"/>
          <w:lang w:val="en-US"/>
        </w:rPr>
      </w:pPr>
    </w:p>
    <w:p w14:paraId="34DDA403" w14:textId="2A6AFEA4" w:rsidR="00475071" w:rsidRPr="00835ACD" w:rsidRDefault="00475071" w:rsidP="003E6999">
      <w:pPr>
        <w:spacing w:after="120" w:line="480" w:lineRule="auto"/>
        <w:jc w:val="both"/>
        <w:rPr>
          <w:color w:val="000000" w:themeColor="text1"/>
          <w:lang w:val="en-US"/>
        </w:rPr>
      </w:pPr>
      <w:r w:rsidRPr="00835ACD">
        <w:rPr>
          <w:color w:val="000000" w:themeColor="text1"/>
          <w:lang w:val="en-US"/>
        </w:rPr>
        <w:t xml:space="preserve">Table S6: Denudation and denudation rates for the LTT samples </w:t>
      </w:r>
      <w:r w:rsidR="007551B8">
        <w:rPr>
          <w:color w:val="000000" w:themeColor="text1"/>
          <w:lang w:val="en-US"/>
        </w:rPr>
        <w:t xml:space="preserve">of Deryck et al. (2021) </w:t>
      </w:r>
      <w:r w:rsidRPr="00835ACD">
        <w:rPr>
          <w:color w:val="000000" w:themeColor="text1"/>
          <w:lang w:val="en-US"/>
        </w:rPr>
        <w:t>assuming the thermal history is primarily driven by denudation/burial and a geothermal gradient of 25°/km</w:t>
      </w:r>
      <w:r w:rsidR="007551B8">
        <w:rPr>
          <w:color w:val="000000" w:themeColor="text1"/>
          <w:lang w:val="en-US"/>
        </w:rPr>
        <w:t xml:space="preserve"> (Fig. 8)</w:t>
      </w:r>
      <w:r w:rsidRPr="00835ACD">
        <w:rPr>
          <w:color w:val="000000" w:themeColor="text1"/>
          <w:lang w:val="en-US"/>
        </w:rPr>
        <w:t>.</w:t>
      </w:r>
    </w:p>
    <w:p w14:paraId="0C8A68A8" w14:textId="66AC5A94" w:rsidR="00475071" w:rsidRPr="00835ACD" w:rsidRDefault="00475071" w:rsidP="001113E1">
      <w:pPr>
        <w:pStyle w:val="GSAcaption"/>
        <w:rPr>
          <w:lang w:val="en-US"/>
        </w:rPr>
      </w:pPr>
    </w:p>
    <w:p w14:paraId="145AB938" w14:textId="0317AB1E" w:rsidR="009D3949" w:rsidRPr="00835ACD" w:rsidRDefault="009D3949" w:rsidP="001113E1">
      <w:pPr>
        <w:pStyle w:val="GSAcaption"/>
        <w:rPr>
          <w:b/>
          <w:bCs/>
          <w:lang w:val="en-US"/>
        </w:rPr>
      </w:pPr>
      <w:r w:rsidRPr="00835ACD">
        <w:rPr>
          <w:b/>
          <w:bCs/>
          <w:lang w:val="en-US"/>
        </w:rPr>
        <w:t>FIGURE CAPTIONS</w:t>
      </w:r>
    </w:p>
    <w:p w14:paraId="5BA3A2D9" w14:textId="121D97F1" w:rsidR="009D3949" w:rsidRPr="00835ACD" w:rsidRDefault="009D3949" w:rsidP="003E6999">
      <w:pPr>
        <w:pStyle w:val="GSAcaption"/>
        <w:spacing w:after="120"/>
        <w:rPr>
          <w:lang w:val="en-US"/>
        </w:rPr>
      </w:pPr>
      <w:r w:rsidRPr="00835ACD">
        <w:rPr>
          <w:lang w:val="en-US"/>
        </w:rPr>
        <w:t xml:space="preserve">Figure S1. </w:t>
      </w:r>
      <w:r w:rsidRPr="00835ACD">
        <w:rPr>
          <w:color w:val="000000" w:themeColor="text1"/>
          <w:lang w:val="en-US"/>
        </w:rPr>
        <w:t>Location of the complete studied subsurface database (2D seismic in brown lines and well data in yellow cercles)</w:t>
      </w:r>
      <w:r w:rsidRPr="00835ACD">
        <w:rPr>
          <w:lang w:val="en-US"/>
        </w:rPr>
        <w:t>. After Loparev et al. (2021).</w:t>
      </w:r>
    </w:p>
    <w:p w14:paraId="561476E1" w14:textId="77777777" w:rsidR="009D3949" w:rsidRPr="00835ACD" w:rsidRDefault="009D3949" w:rsidP="003E6999">
      <w:pPr>
        <w:pStyle w:val="GSAcaption"/>
        <w:spacing w:after="120"/>
        <w:rPr>
          <w:lang w:val="en-US"/>
        </w:rPr>
      </w:pPr>
      <w:r w:rsidRPr="00835ACD">
        <w:rPr>
          <w:lang w:val="en-US"/>
        </w:rPr>
        <w:t>Figure S2: Stratigraphic chart showing the horizons interpreted on the seismic data, the main geodynamic stages for the Guiana-Suriname (GS) and Foz do Amazonas (FOZ) basins and the main mechanisms assumed to drive the subsidence. EA: Equatorial Atlantic; CA: Central Atlantic; BU: Break-up Unconformity. After Loparev et al. (2021).</w:t>
      </w:r>
    </w:p>
    <w:p w14:paraId="230F6C6B" w14:textId="649D0C47" w:rsidR="009D3949" w:rsidRPr="00835ACD" w:rsidRDefault="009D3949" w:rsidP="003E6999">
      <w:pPr>
        <w:pStyle w:val="SMHeading"/>
        <w:spacing w:after="120" w:line="480" w:lineRule="auto"/>
        <w:rPr>
          <w:b w:val="0"/>
          <w:bCs w:val="0"/>
          <w:color w:val="000000" w:themeColor="text1"/>
          <w:lang w:val="en-US"/>
        </w:rPr>
      </w:pPr>
      <w:r w:rsidRPr="00835ACD">
        <w:rPr>
          <w:b w:val="0"/>
          <w:bCs w:val="0"/>
          <w:color w:val="000000" w:themeColor="text1"/>
          <w:lang w:val="en-US"/>
        </w:rPr>
        <w:t>Figure S3. Additional geological cross-sections. (A) GS1 and (B) GS2 sections through the transform segments of GS basin (CA). (C) DEM1</w:t>
      </w:r>
      <w:r w:rsidR="0049542C">
        <w:rPr>
          <w:b w:val="0"/>
          <w:bCs w:val="0"/>
          <w:color w:val="000000" w:themeColor="text1"/>
          <w:lang w:val="en-US"/>
        </w:rPr>
        <w:t xml:space="preserve"> and (D) DEM2 </w:t>
      </w:r>
      <w:r w:rsidRPr="00835ACD">
        <w:rPr>
          <w:b w:val="0"/>
          <w:bCs w:val="0"/>
          <w:color w:val="000000" w:themeColor="text1"/>
          <w:lang w:val="en-US"/>
        </w:rPr>
        <w:t>section</w:t>
      </w:r>
      <w:r w:rsidR="0049542C">
        <w:rPr>
          <w:b w:val="0"/>
          <w:bCs w:val="0"/>
          <w:color w:val="000000" w:themeColor="text1"/>
          <w:lang w:val="en-US"/>
        </w:rPr>
        <w:t>s</w:t>
      </w:r>
      <w:r w:rsidRPr="00835ACD">
        <w:rPr>
          <w:b w:val="0"/>
          <w:bCs w:val="0"/>
          <w:color w:val="000000" w:themeColor="text1"/>
          <w:lang w:val="en-US"/>
        </w:rPr>
        <w:t xml:space="preserve"> through the transform segment of North Demerara basin (EA). (E) FOZ1 section through the oblique segment of FOZ basin (EA). (F) FOZ3 strike section along the FOZ basin and the Amazon Delta. (CA: Central Atlantic; EA: Equatorial Atlantic; ND: Necking Domain; BU: Break-up Unconformity; DM. Distal margin; ICC: Intruded Continental Crust; FZ: Fracture Zone; GS: Guiana-Suriname; FOZ: Foz do Amazonas). Modified after Loparev et al. (2021).</w:t>
      </w:r>
    </w:p>
    <w:p w14:paraId="21BF07EF" w14:textId="02FD54AF" w:rsidR="009D3949" w:rsidRPr="00835ACD" w:rsidRDefault="009D3949" w:rsidP="003E6999">
      <w:pPr>
        <w:pStyle w:val="SMHeading"/>
        <w:spacing w:after="120" w:line="480" w:lineRule="auto"/>
        <w:rPr>
          <w:b w:val="0"/>
          <w:bCs w:val="0"/>
          <w:color w:val="000000" w:themeColor="text1"/>
          <w:lang w:val="en-US"/>
        </w:rPr>
      </w:pPr>
      <w:r w:rsidRPr="00835ACD">
        <w:rPr>
          <w:b w:val="0"/>
          <w:bCs w:val="0"/>
          <w:lang w:val="en-US"/>
        </w:rPr>
        <w:t xml:space="preserve">Figure S4. </w:t>
      </w:r>
      <w:r w:rsidRPr="00835ACD">
        <w:rPr>
          <w:b w:val="0"/>
          <w:bCs w:val="0"/>
          <w:color w:val="000000" w:themeColor="text1"/>
          <w:lang w:val="en-US"/>
        </w:rPr>
        <w:t>Line drawing of additional studied 2D seismic sections. (CA: Central Atlantic; EA: Equatorial Atlantic; ND: Necking Domain; BU: Break-up Unconformity; DM. Distal margin; ICC: Intruded Continental Crust; OC: Oceanic crust; FZ: Fracture Zone). Modified after Loparev et al. (2021).</w:t>
      </w:r>
    </w:p>
    <w:p w14:paraId="6E683FF8" w14:textId="25AA46C5" w:rsidR="0074026F" w:rsidRPr="00835ACD" w:rsidRDefault="0074026F" w:rsidP="003E6999">
      <w:pPr>
        <w:pStyle w:val="Papertext"/>
        <w:spacing w:after="120"/>
        <w:ind w:firstLine="0"/>
        <w:rPr>
          <w:rFonts w:cs="Times New Roman"/>
          <w:lang w:val="en-US"/>
        </w:rPr>
      </w:pPr>
      <w:r w:rsidRPr="00835ACD">
        <w:rPr>
          <w:rFonts w:cs="Times New Roman"/>
          <w:lang w:val="en-US"/>
        </w:rPr>
        <w:t>Figure S5</w:t>
      </w:r>
      <w:r w:rsidR="00EF0666">
        <w:rPr>
          <w:rFonts w:cs="Times New Roman"/>
          <w:lang w:val="en-US"/>
        </w:rPr>
        <w:t>.</w:t>
      </w:r>
      <w:r w:rsidRPr="00835ACD">
        <w:rPr>
          <w:rFonts w:cs="Times New Roman"/>
          <w:lang w:val="en-US"/>
        </w:rPr>
        <w:t xml:space="preserve"> </w:t>
      </w:r>
      <w:r w:rsidRPr="00835ACD">
        <w:rPr>
          <w:rFonts w:cs="Times New Roman"/>
          <w:color w:val="000000" w:themeColor="text1"/>
          <w:lang w:val="en-US"/>
        </w:rPr>
        <w:t>Method of seismic stratigraphy for a theoretical example</w:t>
      </w:r>
      <w:r w:rsidRPr="00835ACD">
        <w:rPr>
          <w:rFonts w:cs="Times New Roman"/>
          <w:lang w:val="en-US"/>
        </w:rPr>
        <w:t>. Modified after Jermannaud et al. (2010).</w:t>
      </w:r>
    </w:p>
    <w:p w14:paraId="146B9FA2" w14:textId="0CBB3E33" w:rsidR="0074026F" w:rsidRPr="00835ACD" w:rsidRDefault="0074026F" w:rsidP="003E6999">
      <w:pPr>
        <w:pStyle w:val="SMHeading"/>
        <w:spacing w:after="120" w:line="480" w:lineRule="auto"/>
        <w:jc w:val="both"/>
        <w:rPr>
          <w:b w:val="0"/>
          <w:bCs w:val="0"/>
          <w:color w:val="000000" w:themeColor="text1"/>
          <w:lang w:val="en-US"/>
        </w:rPr>
      </w:pPr>
      <w:r w:rsidRPr="00835ACD">
        <w:rPr>
          <w:b w:val="0"/>
          <w:bCs w:val="0"/>
          <w:color w:val="000000" w:themeColor="text1"/>
          <w:lang w:val="en-US"/>
        </w:rPr>
        <w:t xml:space="preserve">Figure S6. </w:t>
      </w:r>
      <w:r w:rsidR="00376658">
        <w:rPr>
          <w:b w:val="0"/>
          <w:bCs w:val="0"/>
          <w:color w:val="000000" w:themeColor="text1"/>
          <w:lang w:val="en-US"/>
        </w:rPr>
        <w:t xml:space="preserve">Method of calibration of sedimentary environments on seismic data. </w:t>
      </w:r>
      <w:r w:rsidRPr="00835ACD">
        <w:rPr>
          <w:b w:val="0"/>
          <w:bCs w:val="0"/>
          <w:color w:val="000000" w:themeColor="text1"/>
          <w:lang w:val="en-US"/>
        </w:rPr>
        <w:t>(A) Definition of the sedimentary environments from the well-log data. (B) Calibration of seismic facies</w:t>
      </w:r>
      <w:r w:rsidR="00376658">
        <w:rPr>
          <w:b w:val="0"/>
          <w:bCs w:val="0"/>
          <w:color w:val="000000" w:themeColor="text1"/>
          <w:lang w:val="en-US"/>
        </w:rPr>
        <w:t xml:space="preserve"> at ell </w:t>
      </w:r>
      <w:r w:rsidR="00376658">
        <w:rPr>
          <w:b w:val="0"/>
          <w:bCs w:val="0"/>
          <w:color w:val="000000" w:themeColor="text1"/>
          <w:lang w:val="en-US"/>
        </w:rPr>
        <w:lastRenderedPageBreak/>
        <w:t>location</w:t>
      </w:r>
      <w:r w:rsidRPr="00835ACD">
        <w:rPr>
          <w:b w:val="0"/>
          <w:bCs w:val="0"/>
          <w:color w:val="000000" w:themeColor="text1"/>
          <w:lang w:val="en-US"/>
        </w:rPr>
        <w:t>. (C) Interpretation of depositional environments on seismic data. Modified after Jermannaud et al. (2010).</w:t>
      </w:r>
    </w:p>
    <w:p w14:paraId="7FD7D5D3" w14:textId="358BBE4A" w:rsidR="0074026F" w:rsidRPr="00835ACD" w:rsidRDefault="00DB2823" w:rsidP="003E6999">
      <w:pPr>
        <w:spacing w:after="120" w:line="480" w:lineRule="auto"/>
        <w:jc w:val="both"/>
        <w:rPr>
          <w:color w:val="000000" w:themeColor="text1"/>
          <w:lang w:val="en-US"/>
        </w:rPr>
      </w:pPr>
      <w:r w:rsidRPr="00835ACD">
        <w:rPr>
          <w:color w:val="000000" w:themeColor="text1"/>
          <w:lang w:val="en-US"/>
        </w:rPr>
        <w:t xml:space="preserve">Figure S7: Averaged carbonate content estimated for each time interval from the calibration wells of the GS (blue curve) and FOZ, northern and eastern Demerara basins (green curve). </w:t>
      </w:r>
      <w:r w:rsidRPr="00835ACD">
        <w:rPr>
          <w:color w:val="000000" w:themeColor="text1"/>
          <w:lang w:val="en-US"/>
        </w:rPr>
        <w:fldChar w:fldCharType="begin"/>
      </w:r>
      <w:r w:rsidRPr="00835ACD">
        <w:rPr>
          <w:color w:val="000000" w:themeColor="text1"/>
          <w:lang w:val="en-US"/>
        </w:rPr>
        <w:instrText xml:space="preserve"> INCLUDEPICTURE "/var/folders/52/q2_c1xcx6h5174yzkk5_nns00000gn/T/com.microsoft.Word/WebArchiveCopyPasteTempFiles/page172image17099744" \* MERGEFORMATINET </w:instrText>
      </w:r>
      <w:r w:rsidRPr="00835ACD">
        <w:rPr>
          <w:color w:val="000000" w:themeColor="text1"/>
          <w:lang w:val="en-US"/>
        </w:rPr>
        <w:fldChar w:fldCharType="end"/>
      </w:r>
      <w:r w:rsidRPr="00835ACD">
        <w:rPr>
          <w:color w:val="000000" w:themeColor="text1"/>
          <w:lang w:val="en-US"/>
        </w:rPr>
        <w:t>Associated uncertainties correspond to the spatial variability of the CaCO</w:t>
      </w:r>
      <w:r w:rsidRPr="00835ACD">
        <w:rPr>
          <w:color w:val="000000" w:themeColor="text1"/>
          <w:vertAlign w:val="subscript"/>
          <w:lang w:val="en-US"/>
        </w:rPr>
        <w:t>3</w:t>
      </w:r>
      <w:r w:rsidRPr="00835ACD">
        <w:rPr>
          <w:color w:val="000000" w:themeColor="text1"/>
          <w:lang w:val="en-US"/>
        </w:rPr>
        <w:t xml:space="preserve"> content in each basin (see Table S3)</w:t>
      </w:r>
      <w:r w:rsidR="00AD3D21" w:rsidRPr="00835ACD">
        <w:rPr>
          <w:color w:val="000000" w:themeColor="text1"/>
          <w:lang w:val="en-US"/>
        </w:rPr>
        <w:t>.</w:t>
      </w:r>
    </w:p>
    <w:sectPr w:rsidR="0074026F" w:rsidRPr="00835ACD" w:rsidSect="00612BBB">
      <w:headerReference w:type="even" r:id="rId18"/>
      <w:headerReference w:type="default" r:id="rId19"/>
      <w:footerReference w:type="even" r:id="rId20"/>
      <w:footerReference w:type="default" r:id="rId21"/>
      <w:headerReference w:type="first" r:id="rId22"/>
      <w:footerReference w:type="first" r:id="rId2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5763E" w14:textId="77777777" w:rsidR="00BC10C7" w:rsidRDefault="00BC10C7" w:rsidP="00BC10C7">
      <w:r>
        <w:separator/>
      </w:r>
    </w:p>
  </w:endnote>
  <w:endnote w:type="continuationSeparator" w:id="0">
    <w:p w14:paraId="0F3CD115" w14:textId="77777777" w:rsidR="00BC10C7" w:rsidRDefault="00BC10C7" w:rsidP="00BC1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44FCC" w14:textId="77777777" w:rsidR="00BC10C7" w:rsidRDefault="00BC1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C5B2" w14:textId="77777777" w:rsidR="00BC10C7" w:rsidRDefault="00BC10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7BAF" w14:textId="77777777" w:rsidR="00BC10C7" w:rsidRDefault="00BC1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9F4EC" w14:textId="77777777" w:rsidR="00BC10C7" w:rsidRDefault="00BC10C7" w:rsidP="00BC10C7">
      <w:r>
        <w:separator/>
      </w:r>
    </w:p>
  </w:footnote>
  <w:footnote w:type="continuationSeparator" w:id="0">
    <w:p w14:paraId="4164BF5D" w14:textId="77777777" w:rsidR="00BC10C7" w:rsidRDefault="00BC10C7" w:rsidP="00BC1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2186" w14:textId="77777777" w:rsidR="00BC10C7" w:rsidRDefault="00BC1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C51BD" w14:textId="2F043ACA" w:rsidR="00BC10C7" w:rsidRDefault="00BC10C7">
    <w:pPr>
      <w:pStyle w:val="Header"/>
    </w:pPr>
    <w:r w:rsidRPr="003632CB">
      <w:t>Rouby, D., Loparev, A., Chardon, D., Bajolet, F., Dall’Asta, M., Paquet, F., Fillon, C., Roig, J.-Y., and Ye, J., 2023, Sediment routing systems to the Atlantic rifted margin of the Guiana Shield: Geosphere, v. 19, https://doi.org/10.1130/GES02561.1.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D9877" w14:textId="77777777" w:rsidR="00BC10C7" w:rsidRDefault="00BC1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9EA"/>
    <w:multiLevelType w:val="hybridMultilevel"/>
    <w:tmpl w:val="400697E8"/>
    <w:lvl w:ilvl="0" w:tplc="C7360A76">
      <w:start w:val="3"/>
      <w:numFmt w:val="bullet"/>
      <w:lvlText w:val=""/>
      <w:lvlJc w:val="left"/>
      <w:pPr>
        <w:ind w:left="1080" w:hanging="360"/>
      </w:pPr>
      <w:rPr>
        <w:rFonts w:ascii="Wingdings" w:eastAsiaTheme="minorEastAsia"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10D4464"/>
    <w:multiLevelType w:val="hybridMultilevel"/>
    <w:tmpl w:val="4FB2AFB6"/>
    <w:lvl w:ilvl="0" w:tplc="B6AC688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1A83F00"/>
    <w:multiLevelType w:val="hybridMultilevel"/>
    <w:tmpl w:val="4A029148"/>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15:restartNumberingAfterBreak="0">
    <w:nsid w:val="37F908EA"/>
    <w:multiLevelType w:val="hybridMultilevel"/>
    <w:tmpl w:val="6A26CE7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53C334AD"/>
    <w:multiLevelType w:val="hybridMultilevel"/>
    <w:tmpl w:val="5B9023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7E74F2"/>
    <w:multiLevelType w:val="hybridMultilevel"/>
    <w:tmpl w:val="71BA5C1C"/>
    <w:lvl w:ilvl="0" w:tplc="040C0005">
      <w:start w:val="1"/>
      <w:numFmt w:val="bullet"/>
      <w:lvlText w:val=""/>
      <w:lvlJc w:val="left"/>
      <w:pPr>
        <w:ind w:left="1800" w:hanging="360"/>
      </w:pPr>
      <w:rPr>
        <w:rFonts w:ascii="Wingdings" w:hAnsi="Wingdings"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15:restartNumberingAfterBreak="0">
    <w:nsid w:val="6B72551E"/>
    <w:multiLevelType w:val="hybridMultilevel"/>
    <w:tmpl w:val="D61442F4"/>
    <w:lvl w:ilvl="0" w:tplc="04090013">
      <w:start w:val="1"/>
      <w:numFmt w:val="upperRoman"/>
      <w:lvlText w:val="%1."/>
      <w:lvlJc w:val="righ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404C50"/>
    <w:multiLevelType w:val="hybridMultilevel"/>
    <w:tmpl w:val="9A8C686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74A93972"/>
    <w:multiLevelType w:val="hybridMultilevel"/>
    <w:tmpl w:val="F300E68A"/>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 w15:restartNumberingAfterBreak="0">
    <w:nsid w:val="74B8176B"/>
    <w:multiLevelType w:val="multilevel"/>
    <w:tmpl w:val="22B4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0549471">
    <w:abstractNumId w:val="6"/>
  </w:num>
  <w:num w:numId="2" w16cid:durableId="1612203725">
    <w:abstractNumId w:val="1"/>
  </w:num>
  <w:num w:numId="3" w16cid:durableId="1990479862">
    <w:abstractNumId w:val="9"/>
  </w:num>
  <w:num w:numId="4" w16cid:durableId="1151170429">
    <w:abstractNumId w:val="4"/>
  </w:num>
  <w:num w:numId="5" w16cid:durableId="26566676">
    <w:abstractNumId w:val="3"/>
  </w:num>
  <w:num w:numId="6" w16cid:durableId="1273900967">
    <w:abstractNumId w:val="7"/>
  </w:num>
  <w:num w:numId="7" w16cid:durableId="629240908">
    <w:abstractNumId w:val="5"/>
  </w:num>
  <w:num w:numId="8" w16cid:durableId="1999771934">
    <w:abstractNumId w:val="2"/>
  </w:num>
  <w:num w:numId="9" w16cid:durableId="547297985">
    <w:abstractNumId w:val="8"/>
  </w:num>
  <w:num w:numId="10" w16cid:durableId="2144886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6C2"/>
    <w:rsid w:val="00010E73"/>
    <w:rsid w:val="00013EEE"/>
    <w:rsid w:val="00021B33"/>
    <w:rsid w:val="000224C8"/>
    <w:rsid w:val="00034B0A"/>
    <w:rsid w:val="00036BEC"/>
    <w:rsid w:val="00037633"/>
    <w:rsid w:val="00041806"/>
    <w:rsid w:val="000426C2"/>
    <w:rsid w:val="00053510"/>
    <w:rsid w:val="00066606"/>
    <w:rsid w:val="00071EDD"/>
    <w:rsid w:val="0007699A"/>
    <w:rsid w:val="0009290A"/>
    <w:rsid w:val="00094FC7"/>
    <w:rsid w:val="000A4294"/>
    <w:rsid w:val="000A4B56"/>
    <w:rsid w:val="000D28F8"/>
    <w:rsid w:val="000E0689"/>
    <w:rsid w:val="000E6B89"/>
    <w:rsid w:val="000E7C30"/>
    <w:rsid w:val="000F35CD"/>
    <w:rsid w:val="00100C96"/>
    <w:rsid w:val="00102581"/>
    <w:rsid w:val="001113E1"/>
    <w:rsid w:val="00116AFC"/>
    <w:rsid w:val="00116EA4"/>
    <w:rsid w:val="00134713"/>
    <w:rsid w:val="00134C58"/>
    <w:rsid w:val="001359AE"/>
    <w:rsid w:val="001367E3"/>
    <w:rsid w:val="0014120B"/>
    <w:rsid w:val="00145E77"/>
    <w:rsid w:val="0014671B"/>
    <w:rsid w:val="0014740A"/>
    <w:rsid w:val="001541CF"/>
    <w:rsid w:val="00163852"/>
    <w:rsid w:val="00163B03"/>
    <w:rsid w:val="00165739"/>
    <w:rsid w:val="0016637B"/>
    <w:rsid w:val="00174587"/>
    <w:rsid w:val="00176E1F"/>
    <w:rsid w:val="00183A84"/>
    <w:rsid w:val="00192490"/>
    <w:rsid w:val="00196501"/>
    <w:rsid w:val="001B42B6"/>
    <w:rsid w:val="001C2682"/>
    <w:rsid w:val="001C28EC"/>
    <w:rsid w:val="001D768E"/>
    <w:rsid w:val="00206A30"/>
    <w:rsid w:val="002152B5"/>
    <w:rsid w:val="00225A22"/>
    <w:rsid w:val="0023067A"/>
    <w:rsid w:val="002345A3"/>
    <w:rsid w:val="0023495C"/>
    <w:rsid w:val="00234C7F"/>
    <w:rsid w:val="002503DB"/>
    <w:rsid w:val="0025177F"/>
    <w:rsid w:val="002528E9"/>
    <w:rsid w:val="00256CA3"/>
    <w:rsid w:val="00272DE9"/>
    <w:rsid w:val="002747AA"/>
    <w:rsid w:val="00287C80"/>
    <w:rsid w:val="002902AD"/>
    <w:rsid w:val="00290869"/>
    <w:rsid w:val="002C5F3A"/>
    <w:rsid w:val="002E0B35"/>
    <w:rsid w:val="00302973"/>
    <w:rsid w:val="00306359"/>
    <w:rsid w:val="0031379A"/>
    <w:rsid w:val="00315FCB"/>
    <w:rsid w:val="00316D1A"/>
    <w:rsid w:val="00325F2C"/>
    <w:rsid w:val="00331A76"/>
    <w:rsid w:val="003341CC"/>
    <w:rsid w:val="00334310"/>
    <w:rsid w:val="00335735"/>
    <w:rsid w:val="00335B6F"/>
    <w:rsid w:val="00350CD0"/>
    <w:rsid w:val="00362C7C"/>
    <w:rsid w:val="00363D88"/>
    <w:rsid w:val="003730AD"/>
    <w:rsid w:val="0037514F"/>
    <w:rsid w:val="00375564"/>
    <w:rsid w:val="0037570F"/>
    <w:rsid w:val="00376658"/>
    <w:rsid w:val="003844FF"/>
    <w:rsid w:val="00396073"/>
    <w:rsid w:val="00397B41"/>
    <w:rsid w:val="003A2E5A"/>
    <w:rsid w:val="003A4B2A"/>
    <w:rsid w:val="003A76F0"/>
    <w:rsid w:val="003C15D1"/>
    <w:rsid w:val="003D26F7"/>
    <w:rsid w:val="003E5505"/>
    <w:rsid w:val="003E5D5A"/>
    <w:rsid w:val="003E6999"/>
    <w:rsid w:val="003F1643"/>
    <w:rsid w:val="003F5E38"/>
    <w:rsid w:val="003F680E"/>
    <w:rsid w:val="00424642"/>
    <w:rsid w:val="00426172"/>
    <w:rsid w:val="004343B6"/>
    <w:rsid w:val="00437186"/>
    <w:rsid w:val="00446152"/>
    <w:rsid w:val="004513EA"/>
    <w:rsid w:val="00452BA1"/>
    <w:rsid w:val="00475071"/>
    <w:rsid w:val="00481F92"/>
    <w:rsid w:val="00492786"/>
    <w:rsid w:val="00492B87"/>
    <w:rsid w:val="0049542C"/>
    <w:rsid w:val="004A2454"/>
    <w:rsid w:val="004A473A"/>
    <w:rsid w:val="004B2737"/>
    <w:rsid w:val="004B5631"/>
    <w:rsid w:val="004C3538"/>
    <w:rsid w:val="004C545E"/>
    <w:rsid w:val="004C54B4"/>
    <w:rsid w:val="004D545F"/>
    <w:rsid w:val="004D7606"/>
    <w:rsid w:val="004E5E8B"/>
    <w:rsid w:val="004F5298"/>
    <w:rsid w:val="00502AB3"/>
    <w:rsid w:val="00505322"/>
    <w:rsid w:val="005053E3"/>
    <w:rsid w:val="00517B72"/>
    <w:rsid w:val="00526D33"/>
    <w:rsid w:val="00532D7B"/>
    <w:rsid w:val="0054239C"/>
    <w:rsid w:val="00546CFA"/>
    <w:rsid w:val="00561346"/>
    <w:rsid w:val="0056400C"/>
    <w:rsid w:val="0056570E"/>
    <w:rsid w:val="00580E6B"/>
    <w:rsid w:val="005817F8"/>
    <w:rsid w:val="005841B3"/>
    <w:rsid w:val="0059024A"/>
    <w:rsid w:val="005A39CB"/>
    <w:rsid w:val="005B0151"/>
    <w:rsid w:val="005B5BA9"/>
    <w:rsid w:val="005C01B9"/>
    <w:rsid w:val="005C50BC"/>
    <w:rsid w:val="005F5EA7"/>
    <w:rsid w:val="005F6B4C"/>
    <w:rsid w:val="006104C1"/>
    <w:rsid w:val="006126AB"/>
    <w:rsid w:val="00612BBB"/>
    <w:rsid w:val="006156D9"/>
    <w:rsid w:val="00616CEB"/>
    <w:rsid w:val="00627220"/>
    <w:rsid w:val="006306D4"/>
    <w:rsid w:val="0063230E"/>
    <w:rsid w:val="00632C76"/>
    <w:rsid w:val="0064052A"/>
    <w:rsid w:val="00643A6E"/>
    <w:rsid w:val="00653BE3"/>
    <w:rsid w:val="0066188B"/>
    <w:rsid w:val="00662226"/>
    <w:rsid w:val="006633FF"/>
    <w:rsid w:val="006637AD"/>
    <w:rsid w:val="00667099"/>
    <w:rsid w:val="00676499"/>
    <w:rsid w:val="00685EA5"/>
    <w:rsid w:val="00693638"/>
    <w:rsid w:val="006A0FBF"/>
    <w:rsid w:val="006A528D"/>
    <w:rsid w:val="006C057D"/>
    <w:rsid w:val="006C1100"/>
    <w:rsid w:val="006C42BE"/>
    <w:rsid w:val="006D09DC"/>
    <w:rsid w:val="006D4A11"/>
    <w:rsid w:val="006D5808"/>
    <w:rsid w:val="006D5C09"/>
    <w:rsid w:val="006D64A9"/>
    <w:rsid w:val="006E709C"/>
    <w:rsid w:val="006E767F"/>
    <w:rsid w:val="006F2BAC"/>
    <w:rsid w:val="006F6899"/>
    <w:rsid w:val="006F778E"/>
    <w:rsid w:val="00700973"/>
    <w:rsid w:val="00713286"/>
    <w:rsid w:val="00716E50"/>
    <w:rsid w:val="007367E7"/>
    <w:rsid w:val="0074026F"/>
    <w:rsid w:val="00746C77"/>
    <w:rsid w:val="007551B8"/>
    <w:rsid w:val="007671BF"/>
    <w:rsid w:val="007827CD"/>
    <w:rsid w:val="007833B4"/>
    <w:rsid w:val="00793FA9"/>
    <w:rsid w:val="007A4A4F"/>
    <w:rsid w:val="007A5294"/>
    <w:rsid w:val="007B3F31"/>
    <w:rsid w:val="007C2808"/>
    <w:rsid w:val="007C4EEA"/>
    <w:rsid w:val="007C557E"/>
    <w:rsid w:val="007C7CCF"/>
    <w:rsid w:val="007D4A9B"/>
    <w:rsid w:val="007E6937"/>
    <w:rsid w:val="00801244"/>
    <w:rsid w:val="00817EF1"/>
    <w:rsid w:val="00820FCC"/>
    <w:rsid w:val="00822B2E"/>
    <w:rsid w:val="00830E85"/>
    <w:rsid w:val="00831906"/>
    <w:rsid w:val="00835ACD"/>
    <w:rsid w:val="008426DA"/>
    <w:rsid w:val="00850315"/>
    <w:rsid w:val="008549D5"/>
    <w:rsid w:val="008554D1"/>
    <w:rsid w:val="00861BB0"/>
    <w:rsid w:val="0087755A"/>
    <w:rsid w:val="00887DCC"/>
    <w:rsid w:val="008922A1"/>
    <w:rsid w:val="00893053"/>
    <w:rsid w:val="00894EA5"/>
    <w:rsid w:val="00895390"/>
    <w:rsid w:val="00897530"/>
    <w:rsid w:val="008A5AA5"/>
    <w:rsid w:val="008A6079"/>
    <w:rsid w:val="008B2BE2"/>
    <w:rsid w:val="008B3B6F"/>
    <w:rsid w:val="008B7348"/>
    <w:rsid w:val="008B7CE8"/>
    <w:rsid w:val="008C5AF6"/>
    <w:rsid w:val="008C76ED"/>
    <w:rsid w:val="008D4145"/>
    <w:rsid w:val="008D5688"/>
    <w:rsid w:val="008E1CDA"/>
    <w:rsid w:val="008E3EC8"/>
    <w:rsid w:val="008F4434"/>
    <w:rsid w:val="0091490F"/>
    <w:rsid w:val="0092094E"/>
    <w:rsid w:val="00933A94"/>
    <w:rsid w:val="00940756"/>
    <w:rsid w:val="009536DB"/>
    <w:rsid w:val="00954772"/>
    <w:rsid w:val="00955088"/>
    <w:rsid w:val="00961FC2"/>
    <w:rsid w:val="00963E7A"/>
    <w:rsid w:val="00970325"/>
    <w:rsid w:val="0097058B"/>
    <w:rsid w:val="00972541"/>
    <w:rsid w:val="00972EE5"/>
    <w:rsid w:val="009762D4"/>
    <w:rsid w:val="009770AC"/>
    <w:rsid w:val="009828CC"/>
    <w:rsid w:val="00985CF8"/>
    <w:rsid w:val="009A31CE"/>
    <w:rsid w:val="009A4682"/>
    <w:rsid w:val="009C1801"/>
    <w:rsid w:val="009C1CA0"/>
    <w:rsid w:val="009C5372"/>
    <w:rsid w:val="009D2F3A"/>
    <w:rsid w:val="009D3949"/>
    <w:rsid w:val="009D5BD9"/>
    <w:rsid w:val="009E4139"/>
    <w:rsid w:val="009E7A6F"/>
    <w:rsid w:val="009F4D82"/>
    <w:rsid w:val="00A00643"/>
    <w:rsid w:val="00A0154E"/>
    <w:rsid w:val="00A04441"/>
    <w:rsid w:val="00A219D9"/>
    <w:rsid w:val="00A25B73"/>
    <w:rsid w:val="00A34E40"/>
    <w:rsid w:val="00A500CC"/>
    <w:rsid w:val="00A60B79"/>
    <w:rsid w:val="00A61F15"/>
    <w:rsid w:val="00A62348"/>
    <w:rsid w:val="00A623AB"/>
    <w:rsid w:val="00A62634"/>
    <w:rsid w:val="00A712D0"/>
    <w:rsid w:val="00A8167E"/>
    <w:rsid w:val="00A86551"/>
    <w:rsid w:val="00A875A0"/>
    <w:rsid w:val="00A90680"/>
    <w:rsid w:val="00A930DC"/>
    <w:rsid w:val="00A959DC"/>
    <w:rsid w:val="00A975F4"/>
    <w:rsid w:val="00AA2FB5"/>
    <w:rsid w:val="00AA7ADC"/>
    <w:rsid w:val="00AB5109"/>
    <w:rsid w:val="00AB633D"/>
    <w:rsid w:val="00AC2776"/>
    <w:rsid w:val="00AC69E7"/>
    <w:rsid w:val="00AC713A"/>
    <w:rsid w:val="00AD3D21"/>
    <w:rsid w:val="00AE36FF"/>
    <w:rsid w:val="00AE759B"/>
    <w:rsid w:val="00AF0987"/>
    <w:rsid w:val="00AF21D0"/>
    <w:rsid w:val="00AF226D"/>
    <w:rsid w:val="00AF6D7C"/>
    <w:rsid w:val="00AF6EDB"/>
    <w:rsid w:val="00B01791"/>
    <w:rsid w:val="00B02FD2"/>
    <w:rsid w:val="00B135B5"/>
    <w:rsid w:val="00B239D2"/>
    <w:rsid w:val="00B304BF"/>
    <w:rsid w:val="00B37586"/>
    <w:rsid w:val="00B46E5E"/>
    <w:rsid w:val="00B4737B"/>
    <w:rsid w:val="00B503F9"/>
    <w:rsid w:val="00B56C5F"/>
    <w:rsid w:val="00B731E4"/>
    <w:rsid w:val="00B73E6E"/>
    <w:rsid w:val="00B85CDC"/>
    <w:rsid w:val="00B86422"/>
    <w:rsid w:val="00BA1AB1"/>
    <w:rsid w:val="00BB3BCB"/>
    <w:rsid w:val="00BB4C4D"/>
    <w:rsid w:val="00BB7FE4"/>
    <w:rsid w:val="00BC10C7"/>
    <w:rsid w:val="00BC1C14"/>
    <w:rsid w:val="00BC3783"/>
    <w:rsid w:val="00BC4BFF"/>
    <w:rsid w:val="00BD7918"/>
    <w:rsid w:val="00BE31CE"/>
    <w:rsid w:val="00C210CF"/>
    <w:rsid w:val="00C3190B"/>
    <w:rsid w:val="00C33FB9"/>
    <w:rsid w:val="00C40433"/>
    <w:rsid w:val="00C4536B"/>
    <w:rsid w:val="00C57CDB"/>
    <w:rsid w:val="00C61B1D"/>
    <w:rsid w:val="00C64A3C"/>
    <w:rsid w:val="00C74CAF"/>
    <w:rsid w:val="00C81396"/>
    <w:rsid w:val="00CA17A8"/>
    <w:rsid w:val="00CA3CC4"/>
    <w:rsid w:val="00CA4BE5"/>
    <w:rsid w:val="00CB5F77"/>
    <w:rsid w:val="00CC3936"/>
    <w:rsid w:val="00CC74AE"/>
    <w:rsid w:val="00CD0279"/>
    <w:rsid w:val="00CD5CB6"/>
    <w:rsid w:val="00CF3DDE"/>
    <w:rsid w:val="00CF50BE"/>
    <w:rsid w:val="00CF5FA9"/>
    <w:rsid w:val="00D12459"/>
    <w:rsid w:val="00D126AA"/>
    <w:rsid w:val="00D25D85"/>
    <w:rsid w:val="00D609C5"/>
    <w:rsid w:val="00D6770E"/>
    <w:rsid w:val="00D86230"/>
    <w:rsid w:val="00D91E9B"/>
    <w:rsid w:val="00DA4AA4"/>
    <w:rsid w:val="00DA710D"/>
    <w:rsid w:val="00DA75B2"/>
    <w:rsid w:val="00DB2823"/>
    <w:rsid w:val="00DB5DF2"/>
    <w:rsid w:val="00DC2263"/>
    <w:rsid w:val="00DE2C47"/>
    <w:rsid w:val="00DF1452"/>
    <w:rsid w:val="00DF5E07"/>
    <w:rsid w:val="00E0164A"/>
    <w:rsid w:val="00E15F30"/>
    <w:rsid w:val="00E304A3"/>
    <w:rsid w:val="00E30A4C"/>
    <w:rsid w:val="00E42F84"/>
    <w:rsid w:val="00E65D01"/>
    <w:rsid w:val="00E759A7"/>
    <w:rsid w:val="00E75B4E"/>
    <w:rsid w:val="00E803E0"/>
    <w:rsid w:val="00E96673"/>
    <w:rsid w:val="00EB4C41"/>
    <w:rsid w:val="00EB661D"/>
    <w:rsid w:val="00EC0333"/>
    <w:rsid w:val="00ED014F"/>
    <w:rsid w:val="00ED0272"/>
    <w:rsid w:val="00ED2447"/>
    <w:rsid w:val="00ED6DA9"/>
    <w:rsid w:val="00EE1350"/>
    <w:rsid w:val="00EF0666"/>
    <w:rsid w:val="00EF3EDF"/>
    <w:rsid w:val="00EF4582"/>
    <w:rsid w:val="00F13E59"/>
    <w:rsid w:val="00F15F8E"/>
    <w:rsid w:val="00F2458A"/>
    <w:rsid w:val="00F31CA3"/>
    <w:rsid w:val="00F4185B"/>
    <w:rsid w:val="00F46EAB"/>
    <w:rsid w:val="00F47E72"/>
    <w:rsid w:val="00F55774"/>
    <w:rsid w:val="00F642E1"/>
    <w:rsid w:val="00F70E17"/>
    <w:rsid w:val="00F841D6"/>
    <w:rsid w:val="00F84A68"/>
    <w:rsid w:val="00FB4031"/>
    <w:rsid w:val="00FB6299"/>
    <w:rsid w:val="00FC5424"/>
    <w:rsid w:val="00FD2BF6"/>
    <w:rsid w:val="00FE2482"/>
    <w:rsid w:val="00FF37F0"/>
    <w:rsid w:val="00FF39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1A0A9"/>
  <w15:docId w15:val="{F6DA8698-2940-5C40-961C-67286247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CDA"/>
    <w:rPr>
      <w:rFonts w:ascii="Times New Roman" w:eastAsia="Times New Roman" w:hAnsi="Times New Roman" w:cs="Times New Roman"/>
      <w:lang w:eastAsia="fr-FR"/>
    </w:rPr>
  </w:style>
  <w:style w:type="paragraph" w:styleId="Heading1">
    <w:name w:val="heading 1"/>
    <w:basedOn w:val="Normal"/>
    <w:next w:val="Normal"/>
    <w:link w:val="Heading1Char"/>
    <w:uiPriority w:val="9"/>
    <w:qFormat/>
    <w:rsid w:val="000426C2"/>
    <w:pPr>
      <w:keepNext/>
      <w:keepLines/>
      <w:spacing w:before="120" w:after="12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0426C2"/>
    <w:pPr>
      <w:keepNext/>
      <w:keepLines/>
      <w:spacing w:before="160" w:after="12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6C2"/>
    <w:rPr>
      <w:rFonts w:ascii="Arial" w:eastAsiaTheme="majorEastAsia" w:hAnsi="Arial" w:cstheme="majorBidi"/>
      <w:b/>
      <w:sz w:val="28"/>
      <w:szCs w:val="32"/>
      <w:lang w:val="en-US" w:eastAsia="zh-CN"/>
    </w:rPr>
  </w:style>
  <w:style w:type="character" w:customStyle="1" w:styleId="Heading2Char">
    <w:name w:val="Heading 2 Char"/>
    <w:basedOn w:val="DefaultParagraphFont"/>
    <w:link w:val="Heading2"/>
    <w:uiPriority w:val="9"/>
    <w:rsid w:val="000426C2"/>
    <w:rPr>
      <w:rFonts w:ascii="Arial" w:eastAsiaTheme="majorEastAsia" w:hAnsi="Arial" w:cstheme="majorBidi"/>
      <w:b/>
      <w:szCs w:val="26"/>
      <w:lang w:val="en-US" w:eastAsia="zh-CN"/>
    </w:rPr>
  </w:style>
  <w:style w:type="paragraph" w:customStyle="1" w:styleId="EndNoteBibliography">
    <w:name w:val="EndNote Bibliography"/>
    <w:basedOn w:val="Normal"/>
    <w:link w:val="EndNoteBibliographyChar"/>
    <w:rsid w:val="00716E50"/>
    <w:rPr>
      <w:rFonts w:cs="Arial"/>
      <w:noProof/>
    </w:rPr>
  </w:style>
  <w:style w:type="character" w:customStyle="1" w:styleId="EndNoteBibliographyChar">
    <w:name w:val="EndNote Bibliography Char"/>
    <w:basedOn w:val="DefaultParagraphFont"/>
    <w:link w:val="EndNoteBibliography"/>
    <w:rsid w:val="00716E50"/>
    <w:rPr>
      <w:rFonts w:ascii="Arial" w:eastAsiaTheme="minorEastAsia" w:hAnsi="Arial" w:cs="Arial"/>
      <w:noProof/>
      <w:sz w:val="22"/>
      <w:szCs w:val="22"/>
      <w:lang w:val="en-US" w:eastAsia="zh-CN"/>
    </w:rPr>
  </w:style>
  <w:style w:type="paragraph" w:customStyle="1" w:styleId="SMHeading">
    <w:name w:val="SM Heading"/>
    <w:basedOn w:val="Heading1"/>
    <w:qFormat/>
    <w:rsid w:val="00DC2263"/>
    <w:pPr>
      <w:keepLines w:val="0"/>
      <w:spacing w:before="240" w:after="60"/>
    </w:pPr>
    <w:rPr>
      <w:rFonts w:eastAsia="Times New Roman" w:cs="Times New Roman"/>
      <w:bCs/>
      <w:kern w:val="32"/>
      <w:sz w:val="24"/>
      <w:szCs w:val="24"/>
      <w:lang w:eastAsia="en-US"/>
    </w:rPr>
  </w:style>
  <w:style w:type="paragraph" w:customStyle="1" w:styleId="Papertext">
    <w:name w:val="Papertext"/>
    <w:basedOn w:val="ListParagraph"/>
    <w:qFormat/>
    <w:rsid w:val="00041806"/>
    <w:pPr>
      <w:spacing w:line="480" w:lineRule="auto"/>
      <w:ind w:left="0" w:firstLine="284"/>
      <w:jc w:val="both"/>
    </w:pPr>
    <w:rPr>
      <w:rFonts w:cs="Arial"/>
      <w:lang w:val="en-GB"/>
    </w:rPr>
  </w:style>
  <w:style w:type="paragraph" w:styleId="ListParagraph">
    <w:name w:val="List Paragraph"/>
    <w:basedOn w:val="Normal"/>
    <w:uiPriority w:val="34"/>
    <w:qFormat/>
    <w:rsid w:val="00041806"/>
    <w:pPr>
      <w:ind w:left="720"/>
      <w:contextualSpacing/>
    </w:pPr>
  </w:style>
  <w:style w:type="character" w:styleId="CommentReference">
    <w:name w:val="annotation reference"/>
    <w:basedOn w:val="DefaultParagraphFont"/>
    <w:uiPriority w:val="99"/>
    <w:semiHidden/>
    <w:unhideWhenUsed/>
    <w:rsid w:val="00A61F15"/>
    <w:rPr>
      <w:sz w:val="18"/>
      <w:szCs w:val="18"/>
    </w:rPr>
  </w:style>
  <w:style w:type="paragraph" w:styleId="CommentText">
    <w:name w:val="annotation text"/>
    <w:basedOn w:val="Normal"/>
    <w:link w:val="CommentTextChar"/>
    <w:uiPriority w:val="99"/>
    <w:unhideWhenUsed/>
    <w:rsid w:val="00A61F15"/>
    <w:rPr>
      <w:rFonts w:asciiTheme="minorHAnsi" w:eastAsiaTheme="minorHAnsi" w:hAnsiTheme="minorHAnsi"/>
      <w:lang w:eastAsia="en-US"/>
    </w:rPr>
  </w:style>
  <w:style w:type="character" w:customStyle="1" w:styleId="CommentTextChar">
    <w:name w:val="Comment Text Char"/>
    <w:basedOn w:val="DefaultParagraphFont"/>
    <w:link w:val="CommentText"/>
    <w:uiPriority w:val="99"/>
    <w:rsid w:val="00A61F15"/>
  </w:style>
  <w:style w:type="paragraph" w:styleId="CommentSubject">
    <w:name w:val="annotation subject"/>
    <w:basedOn w:val="CommentText"/>
    <w:next w:val="CommentText"/>
    <w:link w:val="CommentSubjectChar"/>
    <w:uiPriority w:val="99"/>
    <w:semiHidden/>
    <w:unhideWhenUsed/>
    <w:rsid w:val="0097058B"/>
    <w:pPr>
      <w:spacing w:after="160"/>
    </w:pPr>
    <w:rPr>
      <w:rFonts w:ascii="Arial" w:eastAsiaTheme="minorEastAsia" w:hAnsi="Arial"/>
      <w:b/>
      <w:bCs/>
      <w:sz w:val="20"/>
      <w:szCs w:val="20"/>
      <w:lang w:val="en-US" w:eastAsia="zh-CN"/>
    </w:rPr>
  </w:style>
  <w:style w:type="character" w:customStyle="1" w:styleId="CommentSubjectChar">
    <w:name w:val="Comment Subject Char"/>
    <w:basedOn w:val="CommentTextChar"/>
    <w:link w:val="CommentSubject"/>
    <w:uiPriority w:val="99"/>
    <w:semiHidden/>
    <w:rsid w:val="0097058B"/>
    <w:rPr>
      <w:rFonts w:ascii="Arial" w:eastAsiaTheme="minorEastAsia" w:hAnsi="Arial"/>
      <w:b/>
      <w:bCs/>
      <w:sz w:val="20"/>
      <w:szCs w:val="20"/>
      <w:lang w:val="en-US" w:eastAsia="zh-CN"/>
    </w:rPr>
  </w:style>
  <w:style w:type="character" w:styleId="Hyperlink">
    <w:name w:val="Hyperlink"/>
    <w:basedOn w:val="DefaultParagraphFont"/>
    <w:uiPriority w:val="99"/>
    <w:unhideWhenUsed/>
    <w:rsid w:val="00066606"/>
    <w:rPr>
      <w:color w:val="0000FF"/>
      <w:u w:val="single"/>
    </w:rPr>
  </w:style>
  <w:style w:type="character" w:styleId="UnresolvedMention">
    <w:name w:val="Unresolved Mention"/>
    <w:basedOn w:val="DefaultParagraphFont"/>
    <w:uiPriority w:val="99"/>
    <w:semiHidden/>
    <w:unhideWhenUsed/>
    <w:rsid w:val="00E30A4C"/>
    <w:rPr>
      <w:color w:val="605E5C"/>
      <w:shd w:val="clear" w:color="auto" w:fill="E1DFDD"/>
    </w:rPr>
  </w:style>
  <w:style w:type="character" w:styleId="FollowedHyperlink">
    <w:name w:val="FollowedHyperlink"/>
    <w:basedOn w:val="DefaultParagraphFont"/>
    <w:uiPriority w:val="99"/>
    <w:semiHidden/>
    <w:unhideWhenUsed/>
    <w:rsid w:val="009536DB"/>
    <w:rPr>
      <w:color w:val="954F72" w:themeColor="followedHyperlink"/>
      <w:u w:val="single"/>
    </w:rPr>
  </w:style>
  <w:style w:type="paragraph" w:customStyle="1" w:styleId="author">
    <w:name w:val="author"/>
    <w:basedOn w:val="Normal"/>
    <w:rsid w:val="00B56C5F"/>
    <w:pPr>
      <w:spacing w:before="100" w:beforeAutospacing="1" w:after="100" w:afterAutospacing="1"/>
    </w:pPr>
  </w:style>
  <w:style w:type="character" w:customStyle="1" w:styleId="apple-converted-space">
    <w:name w:val="apple-converted-space"/>
    <w:basedOn w:val="DefaultParagraphFont"/>
    <w:rsid w:val="00B56C5F"/>
  </w:style>
  <w:style w:type="paragraph" w:customStyle="1" w:styleId="PaperTitle1">
    <w:name w:val="PaperTitle1"/>
    <w:basedOn w:val="Normal"/>
    <w:qFormat/>
    <w:rsid w:val="00D91E9B"/>
    <w:pPr>
      <w:spacing w:after="160" w:line="360" w:lineRule="auto"/>
      <w:jc w:val="both"/>
    </w:pPr>
    <w:rPr>
      <w:rFonts w:ascii="Arial" w:eastAsiaTheme="minorEastAsia" w:hAnsi="Arial" w:cs="Arial"/>
      <w:b/>
      <w:lang w:val="en-US" w:eastAsia="zh-CN"/>
    </w:rPr>
  </w:style>
  <w:style w:type="paragraph" w:customStyle="1" w:styleId="PaperTitle2">
    <w:name w:val="PaperTitle2"/>
    <w:basedOn w:val="Normal"/>
    <w:qFormat/>
    <w:rsid w:val="00D91E9B"/>
    <w:pPr>
      <w:spacing w:line="480" w:lineRule="auto"/>
      <w:jc w:val="both"/>
    </w:pPr>
    <w:rPr>
      <w:rFonts w:ascii="Arial" w:eastAsiaTheme="minorEastAsia" w:hAnsi="Arial" w:cs="Arial"/>
      <w:i/>
      <w:lang w:val="en-US" w:eastAsia="zh-CN"/>
    </w:rPr>
  </w:style>
  <w:style w:type="paragraph" w:customStyle="1" w:styleId="SMcaption">
    <w:name w:val="SM caption"/>
    <w:basedOn w:val="Normal"/>
    <w:qFormat/>
    <w:rsid w:val="00FB6299"/>
    <w:rPr>
      <w:szCs w:val="20"/>
      <w:lang w:val="en-US" w:eastAsia="en-US"/>
    </w:rPr>
  </w:style>
  <w:style w:type="paragraph" w:customStyle="1" w:styleId="GSAcaption">
    <w:name w:val="GSA_caption"/>
    <w:basedOn w:val="Normal"/>
    <w:qFormat/>
    <w:rsid w:val="001541CF"/>
    <w:pPr>
      <w:spacing w:line="480" w:lineRule="auto"/>
    </w:pPr>
  </w:style>
  <w:style w:type="paragraph" w:customStyle="1" w:styleId="Default">
    <w:name w:val="Default"/>
    <w:rsid w:val="00036BEC"/>
    <w:pPr>
      <w:autoSpaceDE w:val="0"/>
      <w:autoSpaceDN w:val="0"/>
      <w:adjustRightInd w:val="0"/>
    </w:pPr>
    <w:rPr>
      <w:rFonts w:ascii="Arial" w:hAnsi="Arial" w:cs="Arial"/>
      <w:color w:val="000000"/>
    </w:rPr>
  </w:style>
  <w:style w:type="paragraph" w:customStyle="1" w:styleId="GSAtext">
    <w:name w:val="GSA_text"/>
    <w:qFormat/>
    <w:rsid w:val="00F70E17"/>
    <w:pPr>
      <w:spacing w:line="480" w:lineRule="auto"/>
      <w:ind w:firstLine="720"/>
    </w:pPr>
    <w:rPr>
      <w:rFonts w:ascii="Times New Roman" w:eastAsia="Calibri" w:hAnsi="Times New Roman" w:cs="Times New Roman"/>
      <w:szCs w:val="22"/>
      <w:lang w:val="en-US"/>
    </w:rPr>
  </w:style>
  <w:style w:type="paragraph" w:styleId="NormalWeb">
    <w:name w:val="Normal (Web)"/>
    <w:basedOn w:val="Normal"/>
    <w:uiPriority w:val="99"/>
    <w:unhideWhenUsed/>
    <w:rsid w:val="00F70E17"/>
    <w:pPr>
      <w:spacing w:before="100" w:beforeAutospacing="1" w:after="100" w:afterAutospacing="1"/>
    </w:pPr>
  </w:style>
  <w:style w:type="paragraph" w:styleId="Header">
    <w:name w:val="header"/>
    <w:basedOn w:val="Normal"/>
    <w:link w:val="HeaderChar"/>
    <w:uiPriority w:val="99"/>
    <w:unhideWhenUsed/>
    <w:rsid w:val="00BC10C7"/>
    <w:pPr>
      <w:tabs>
        <w:tab w:val="center" w:pos="4680"/>
        <w:tab w:val="right" w:pos="9360"/>
      </w:tabs>
    </w:pPr>
  </w:style>
  <w:style w:type="character" w:customStyle="1" w:styleId="HeaderChar">
    <w:name w:val="Header Char"/>
    <w:basedOn w:val="DefaultParagraphFont"/>
    <w:link w:val="Header"/>
    <w:uiPriority w:val="99"/>
    <w:rsid w:val="00BC10C7"/>
    <w:rPr>
      <w:rFonts w:ascii="Times New Roman" w:eastAsia="Times New Roman" w:hAnsi="Times New Roman" w:cs="Times New Roman"/>
      <w:lang w:eastAsia="fr-FR"/>
    </w:rPr>
  </w:style>
  <w:style w:type="paragraph" w:styleId="Footer">
    <w:name w:val="footer"/>
    <w:basedOn w:val="Normal"/>
    <w:link w:val="FooterChar"/>
    <w:uiPriority w:val="99"/>
    <w:unhideWhenUsed/>
    <w:rsid w:val="00BC10C7"/>
    <w:pPr>
      <w:tabs>
        <w:tab w:val="center" w:pos="4680"/>
        <w:tab w:val="right" w:pos="9360"/>
      </w:tabs>
    </w:pPr>
  </w:style>
  <w:style w:type="character" w:customStyle="1" w:styleId="FooterChar">
    <w:name w:val="Footer Char"/>
    <w:basedOn w:val="DefaultParagraphFont"/>
    <w:link w:val="Footer"/>
    <w:uiPriority w:val="99"/>
    <w:rsid w:val="00BC10C7"/>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4884">
      <w:bodyDiv w:val="1"/>
      <w:marLeft w:val="0"/>
      <w:marRight w:val="0"/>
      <w:marTop w:val="0"/>
      <w:marBottom w:val="0"/>
      <w:divBdr>
        <w:top w:val="none" w:sz="0" w:space="0" w:color="auto"/>
        <w:left w:val="none" w:sz="0" w:space="0" w:color="auto"/>
        <w:bottom w:val="none" w:sz="0" w:space="0" w:color="auto"/>
        <w:right w:val="none" w:sz="0" w:space="0" w:color="auto"/>
      </w:divBdr>
    </w:div>
    <w:div w:id="69886000">
      <w:bodyDiv w:val="1"/>
      <w:marLeft w:val="0"/>
      <w:marRight w:val="0"/>
      <w:marTop w:val="0"/>
      <w:marBottom w:val="0"/>
      <w:divBdr>
        <w:top w:val="none" w:sz="0" w:space="0" w:color="auto"/>
        <w:left w:val="none" w:sz="0" w:space="0" w:color="auto"/>
        <w:bottom w:val="none" w:sz="0" w:space="0" w:color="auto"/>
        <w:right w:val="none" w:sz="0" w:space="0" w:color="auto"/>
      </w:divBdr>
      <w:divsChild>
        <w:div w:id="2037265065">
          <w:marLeft w:val="0"/>
          <w:marRight w:val="0"/>
          <w:marTop w:val="0"/>
          <w:marBottom w:val="0"/>
          <w:divBdr>
            <w:top w:val="none" w:sz="0" w:space="0" w:color="auto"/>
            <w:left w:val="none" w:sz="0" w:space="0" w:color="auto"/>
            <w:bottom w:val="none" w:sz="0" w:space="0" w:color="auto"/>
            <w:right w:val="none" w:sz="0" w:space="0" w:color="auto"/>
          </w:divBdr>
        </w:div>
      </w:divsChild>
    </w:div>
    <w:div w:id="74327665">
      <w:bodyDiv w:val="1"/>
      <w:marLeft w:val="0"/>
      <w:marRight w:val="0"/>
      <w:marTop w:val="0"/>
      <w:marBottom w:val="0"/>
      <w:divBdr>
        <w:top w:val="none" w:sz="0" w:space="0" w:color="auto"/>
        <w:left w:val="none" w:sz="0" w:space="0" w:color="auto"/>
        <w:bottom w:val="none" w:sz="0" w:space="0" w:color="auto"/>
        <w:right w:val="none" w:sz="0" w:space="0" w:color="auto"/>
      </w:divBdr>
      <w:divsChild>
        <w:div w:id="960769871">
          <w:marLeft w:val="480"/>
          <w:marRight w:val="0"/>
          <w:marTop w:val="0"/>
          <w:marBottom w:val="0"/>
          <w:divBdr>
            <w:top w:val="none" w:sz="0" w:space="0" w:color="auto"/>
            <w:left w:val="none" w:sz="0" w:space="0" w:color="auto"/>
            <w:bottom w:val="none" w:sz="0" w:space="0" w:color="auto"/>
            <w:right w:val="none" w:sz="0" w:space="0" w:color="auto"/>
          </w:divBdr>
          <w:divsChild>
            <w:div w:id="18278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8936">
      <w:bodyDiv w:val="1"/>
      <w:marLeft w:val="0"/>
      <w:marRight w:val="0"/>
      <w:marTop w:val="0"/>
      <w:marBottom w:val="0"/>
      <w:divBdr>
        <w:top w:val="none" w:sz="0" w:space="0" w:color="auto"/>
        <w:left w:val="none" w:sz="0" w:space="0" w:color="auto"/>
        <w:bottom w:val="none" w:sz="0" w:space="0" w:color="auto"/>
        <w:right w:val="none" w:sz="0" w:space="0" w:color="auto"/>
      </w:divBdr>
    </w:div>
    <w:div w:id="320160185">
      <w:bodyDiv w:val="1"/>
      <w:marLeft w:val="0"/>
      <w:marRight w:val="0"/>
      <w:marTop w:val="0"/>
      <w:marBottom w:val="0"/>
      <w:divBdr>
        <w:top w:val="none" w:sz="0" w:space="0" w:color="auto"/>
        <w:left w:val="none" w:sz="0" w:space="0" w:color="auto"/>
        <w:bottom w:val="none" w:sz="0" w:space="0" w:color="auto"/>
        <w:right w:val="none" w:sz="0" w:space="0" w:color="auto"/>
      </w:divBdr>
    </w:div>
    <w:div w:id="345669159">
      <w:bodyDiv w:val="1"/>
      <w:marLeft w:val="0"/>
      <w:marRight w:val="0"/>
      <w:marTop w:val="0"/>
      <w:marBottom w:val="0"/>
      <w:divBdr>
        <w:top w:val="none" w:sz="0" w:space="0" w:color="auto"/>
        <w:left w:val="none" w:sz="0" w:space="0" w:color="auto"/>
        <w:bottom w:val="none" w:sz="0" w:space="0" w:color="auto"/>
        <w:right w:val="none" w:sz="0" w:space="0" w:color="auto"/>
      </w:divBdr>
    </w:div>
    <w:div w:id="368577457">
      <w:bodyDiv w:val="1"/>
      <w:marLeft w:val="0"/>
      <w:marRight w:val="0"/>
      <w:marTop w:val="0"/>
      <w:marBottom w:val="0"/>
      <w:divBdr>
        <w:top w:val="none" w:sz="0" w:space="0" w:color="auto"/>
        <w:left w:val="none" w:sz="0" w:space="0" w:color="auto"/>
        <w:bottom w:val="none" w:sz="0" w:space="0" w:color="auto"/>
        <w:right w:val="none" w:sz="0" w:space="0" w:color="auto"/>
      </w:divBdr>
      <w:divsChild>
        <w:div w:id="909271251">
          <w:marLeft w:val="0"/>
          <w:marRight w:val="0"/>
          <w:marTop w:val="0"/>
          <w:marBottom w:val="0"/>
          <w:divBdr>
            <w:top w:val="none" w:sz="0" w:space="0" w:color="auto"/>
            <w:left w:val="none" w:sz="0" w:space="0" w:color="auto"/>
            <w:bottom w:val="none" w:sz="0" w:space="0" w:color="auto"/>
            <w:right w:val="none" w:sz="0" w:space="0" w:color="auto"/>
          </w:divBdr>
          <w:divsChild>
            <w:div w:id="181171129">
              <w:marLeft w:val="0"/>
              <w:marRight w:val="0"/>
              <w:marTop w:val="0"/>
              <w:marBottom w:val="0"/>
              <w:divBdr>
                <w:top w:val="none" w:sz="0" w:space="0" w:color="auto"/>
                <w:left w:val="none" w:sz="0" w:space="0" w:color="auto"/>
                <w:bottom w:val="none" w:sz="0" w:space="0" w:color="auto"/>
                <w:right w:val="none" w:sz="0" w:space="0" w:color="auto"/>
              </w:divBdr>
              <w:divsChild>
                <w:div w:id="1040085320">
                  <w:marLeft w:val="0"/>
                  <w:marRight w:val="0"/>
                  <w:marTop w:val="0"/>
                  <w:marBottom w:val="0"/>
                  <w:divBdr>
                    <w:top w:val="none" w:sz="0" w:space="0" w:color="auto"/>
                    <w:left w:val="none" w:sz="0" w:space="0" w:color="auto"/>
                    <w:bottom w:val="none" w:sz="0" w:space="0" w:color="auto"/>
                    <w:right w:val="none" w:sz="0" w:space="0" w:color="auto"/>
                  </w:divBdr>
                  <w:divsChild>
                    <w:div w:id="155327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24540">
      <w:bodyDiv w:val="1"/>
      <w:marLeft w:val="0"/>
      <w:marRight w:val="0"/>
      <w:marTop w:val="0"/>
      <w:marBottom w:val="0"/>
      <w:divBdr>
        <w:top w:val="none" w:sz="0" w:space="0" w:color="auto"/>
        <w:left w:val="none" w:sz="0" w:space="0" w:color="auto"/>
        <w:bottom w:val="none" w:sz="0" w:space="0" w:color="auto"/>
        <w:right w:val="none" w:sz="0" w:space="0" w:color="auto"/>
      </w:divBdr>
      <w:divsChild>
        <w:div w:id="69355029">
          <w:marLeft w:val="0"/>
          <w:marRight w:val="0"/>
          <w:marTop w:val="0"/>
          <w:marBottom w:val="0"/>
          <w:divBdr>
            <w:top w:val="none" w:sz="0" w:space="0" w:color="auto"/>
            <w:left w:val="none" w:sz="0" w:space="0" w:color="auto"/>
            <w:bottom w:val="none" w:sz="0" w:space="0" w:color="auto"/>
            <w:right w:val="none" w:sz="0" w:space="0" w:color="auto"/>
          </w:divBdr>
          <w:divsChild>
            <w:div w:id="1318609673">
              <w:marLeft w:val="0"/>
              <w:marRight w:val="0"/>
              <w:marTop w:val="0"/>
              <w:marBottom w:val="0"/>
              <w:divBdr>
                <w:top w:val="none" w:sz="0" w:space="0" w:color="auto"/>
                <w:left w:val="none" w:sz="0" w:space="0" w:color="auto"/>
                <w:bottom w:val="none" w:sz="0" w:space="0" w:color="auto"/>
                <w:right w:val="none" w:sz="0" w:space="0" w:color="auto"/>
              </w:divBdr>
              <w:divsChild>
                <w:div w:id="1291285804">
                  <w:marLeft w:val="0"/>
                  <w:marRight w:val="0"/>
                  <w:marTop w:val="0"/>
                  <w:marBottom w:val="0"/>
                  <w:divBdr>
                    <w:top w:val="none" w:sz="0" w:space="0" w:color="auto"/>
                    <w:left w:val="none" w:sz="0" w:space="0" w:color="auto"/>
                    <w:bottom w:val="none" w:sz="0" w:space="0" w:color="auto"/>
                    <w:right w:val="none" w:sz="0" w:space="0" w:color="auto"/>
                  </w:divBdr>
                  <w:divsChild>
                    <w:div w:id="21256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85331">
      <w:bodyDiv w:val="1"/>
      <w:marLeft w:val="0"/>
      <w:marRight w:val="0"/>
      <w:marTop w:val="0"/>
      <w:marBottom w:val="0"/>
      <w:divBdr>
        <w:top w:val="none" w:sz="0" w:space="0" w:color="auto"/>
        <w:left w:val="none" w:sz="0" w:space="0" w:color="auto"/>
        <w:bottom w:val="none" w:sz="0" w:space="0" w:color="auto"/>
        <w:right w:val="none" w:sz="0" w:space="0" w:color="auto"/>
      </w:divBdr>
    </w:div>
    <w:div w:id="915894356">
      <w:bodyDiv w:val="1"/>
      <w:marLeft w:val="0"/>
      <w:marRight w:val="0"/>
      <w:marTop w:val="0"/>
      <w:marBottom w:val="0"/>
      <w:divBdr>
        <w:top w:val="none" w:sz="0" w:space="0" w:color="auto"/>
        <w:left w:val="none" w:sz="0" w:space="0" w:color="auto"/>
        <w:bottom w:val="none" w:sz="0" w:space="0" w:color="auto"/>
        <w:right w:val="none" w:sz="0" w:space="0" w:color="auto"/>
      </w:divBdr>
      <w:divsChild>
        <w:div w:id="535896832">
          <w:marLeft w:val="0"/>
          <w:marRight w:val="0"/>
          <w:marTop w:val="0"/>
          <w:marBottom w:val="0"/>
          <w:divBdr>
            <w:top w:val="none" w:sz="0" w:space="0" w:color="auto"/>
            <w:left w:val="none" w:sz="0" w:space="0" w:color="auto"/>
            <w:bottom w:val="none" w:sz="0" w:space="0" w:color="auto"/>
            <w:right w:val="none" w:sz="0" w:space="0" w:color="auto"/>
          </w:divBdr>
          <w:divsChild>
            <w:div w:id="1889948885">
              <w:marLeft w:val="0"/>
              <w:marRight w:val="0"/>
              <w:marTop w:val="0"/>
              <w:marBottom w:val="0"/>
              <w:divBdr>
                <w:top w:val="none" w:sz="0" w:space="0" w:color="auto"/>
                <w:left w:val="none" w:sz="0" w:space="0" w:color="auto"/>
                <w:bottom w:val="none" w:sz="0" w:space="0" w:color="auto"/>
                <w:right w:val="none" w:sz="0" w:space="0" w:color="auto"/>
              </w:divBdr>
              <w:divsChild>
                <w:div w:id="554660842">
                  <w:marLeft w:val="0"/>
                  <w:marRight w:val="0"/>
                  <w:marTop w:val="0"/>
                  <w:marBottom w:val="0"/>
                  <w:divBdr>
                    <w:top w:val="none" w:sz="0" w:space="0" w:color="auto"/>
                    <w:left w:val="none" w:sz="0" w:space="0" w:color="auto"/>
                    <w:bottom w:val="none" w:sz="0" w:space="0" w:color="auto"/>
                    <w:right w:val="none" w:sz="0" w:space="0" w:color="auto"/>
                  </w:divBdr>
                  <w:divsChild>
                    <w:div w:id="12721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990">
      <w:bodyDiv w:val="1"/>
      <w:marLeft w:val="0"/>
      <w:marRight w:val="0"/>
      <w:marTop w:val="0"/>
      <w:marBottom w:val="0"/>
      <w:divBdr>
        <w:top w:val="none" w:sz="0" w:space="0" w:color="auto"/>
        <w:left w:val="none" w:sz="0" w:space="0" w:color="auto"/>
        <w:bottom w:val="none" w:sz="0" w:space="0" w:color="auto"/>
        <w:right w:val="none" w:sz="0" w:space="0" w:color="auto"/>
      </w:divBdr>
      <w:divsChild>
        <w:div w:id="448479528">
          <w:marLeft w:val="480"/>
          <w:marRight w:val="0"/>
          <w:marTop w:val="0"/>
          <w:marBottom w:val="0"/>
          <w:divBdr>
            <w:top w:val="none" w:sz="0" w:space="0" w:color="auto"/>
            <w:left w:val="none" w:sz="0" w:space="0" w:color="auto"/>
            <w:bottom w:val="none" w:sz="0" w:space="0" w:color="auto"/>
            <w:right w:val="none" w:sz="0" w:space="0" w:color="auto"/>
          </w:divBdr>
          <w:divsChild>
            <w:div w:id="4394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18431">
      <w:bodyDiv w:val="1"/>
      <w:marLeft w:val="0"/>
      <w:marRight w:val="0"/>
      <w:marTop w:val="0"/>
      <w:marBottom w:val="0"/>
      <w:divBdr>
        <w:top w:val="none" w:sz="0" w:space="0" w:color="auto"/>
        <w:left w:val="none" w:sz="0" w:space="0" w:color="auto"/>
        <w:bottom w:val="none" w:sz="0" w:space="0" w:color="auto"/>
        <w:right w:val="none" w:sz="0" w:space="0" w:color="auto"/>
      </w:divBdr>
      <w:divsChild>
        <w:div w:id="2102990744">
          <w:marLeft w:val="480"/>
          <w:marRight w:val="0"/>
          <w:marTop w:val="0"/>
          <w:marBottom w:val="0"/>
          <w:divBdr>
            <w:top w:val="none" w:sz="0" w:space="0" w:color="auto"/>
            <w:left w:val="none" w:sz="0" w:space="0" w:color="auto"/>
            <w:bottom w:val="none" w:sz="0" w:space="0" w:color="auto"/>
            <w:right w:val="none" w:sz="0" w:space="0" w:color="auto"/>
          </w:divBdr>
          <w:divsChild>
            <w:div w:id="4564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2585">
      <w:bodyDiv w:val="1"/>
      <w:marLeft w:val="0"/>
      <w:marRight w:val="0"/>
      <w:marTop w:val="0"/>
      <w:marBottom w:val="0"/>
      <w:divBdr>
        <w:top w:val="none" w:sz="0" w:space="0" w:color="auto"/>
        <w:left w:val="none" w:sz="0" w:space="0" w:color="auto"/>
        <w:bottom w:val="none" w:sz="0" w:space="0" w:color="auto"/>
        <w:right w:val="none" w:sz="0" w:space="0" w:color="auto"/>
      </w:divBdr>
      <w:divsChild>
        <w:div w:id="2027096293">
          <w:marLeft w:val="480"/>
          <w:marRight w:val="0"/>
          <w:marTop w:val="0"/>
          <w:marBottom w:val="0"/>
          <w:divBdr>
            <w:top w:val="none" w:sz="0" w:space="0" w:color="auto"/>
            <w:left w:val="none" w:sz="0" w:space="0" w:color="auto"/>
            <w:bottom w:val="none" w:sz="0" w:space="0" w:color="auto"/>
            <w:right w:val="none" w:sz="0" w:space="0" w:color="auto"/>
          </w:divBdr>
          <w:divsChild>
            <w:div w:id="1561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78101">
      <w:bodyDiv w:val="1"/>
      <w:marLeft w:val="0"/>
      <w:marRight w:val="0"/>
      <w:marTop w:val="0"/>
      <w:marBottom w:val="0"/>
      <w:divBdr>
        <w:top w:val="none" w:sz="0" w:space="0" w:color="auto"/>
        <w:left w:val="none" w:sz="0" w:space="0" w:color="auto"/>
        <w:bottom w:val="none" w:sz="0" w:space="0" w:color="auto"/>
        <w:right w:val="none" w:sz="0" w:space="0" w:color="auto"/>
      </w:divBdr>
    </w:div>
    <w:div w:id="1184591779">
      <w:bodyDiv w:val="1"/>
      <w:marLeft w:val="0"/>
      <w:marRight w:val="0"/>
      <w:marTop w:val="0"/>
      <w:marBottom w:val="0"/>
      <w:divBdr>
        <w:top w:val="none" w:sz="0" w:space="0" w:color="auto"/>
        <w:left w:val="none" w:sz="0" w:space="0" w:color="auto"/>
        <w:bottom w:val="none" w:sz="0" w:space="0" w:color="auto"/>
        <w:right w:val="none" w:sz="0" w:space="0" w:color="auto"/>
      </w:divBdr>
    </w:div>
    <w:div w:id="1187910866">
      <w:bodyDiv w:val="1"/>
      <w:marLeft w:val="0"/>
      <w:marRight w:val="0"/>
      <w:marTop w:val="0"/>
      <w:marBottom w:val="0"/>
      <w:divBdr>
        <w:top w:val="none" w:sz="0" w:space="0" w:color="auto"/>
        <w:left w:val="none" w:sz="0" w:space="0" w:color="auto"/>
        <w:bottom w:val="none" w:sz="0" w:space="0" w:color="auto"/>
        <w:right w:val="none" w:sz="0" w:space="0" w:color="auto"/>
      </w:divBdr>
    </w:div>
    <w:div w:id="1214274462">
      <w:bodyDiv w:val="1"/>
      <w:marLeft w:val="0"/>
      <w:marRight w:val="0"/>
      <w:marTop w:val="0"/>
      <w:marBottom w:val="0"/>
      <w:divBdr>
        <w:top w:val="none" w:sz="0" w:space="0" w:color="auto"/>
        <w:left w:val="none" w:sz="0" w:space="0" w:color="auto"/>
        <w:bottom w:val="none" w:sz="0" w:space="0" w:color="auto"/>
        <w:right w:val="none" w:sz="0" w:space="0" w:color="auto"/>
      </w:divBdr>
      <w:divsChild>
        <w:div w:id="65690075">
          <w:marLeft w:val="480"/>
          <w:marRight w:val="0"/>
          <w:marTop w:val="0"/>
          <w:marBottom w:val="0"/>
          <w:divBdr>
            <w:top w:val="none" w:sz="0" w:space="0" w:color="auto"/>
            <w:left w:val="none" w:sz="0" w:space="0" w:color="auto"/>
            <w:bottom w:val="none" w:sz="0" w:space="0" w:color="auto"/>
            <w:right w:val="none" w:sz="0" w:space="0" w:color="auto"/>
          </w:divBdr>
          <w:divsChild>
            <w:div w:id="55917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74822">
      <w:bodyDiv w:val="1"/>
      <w:marLeft w:val="0"/>
      <w:marRight w:val="0"/>
      <w:marTop w:val="0"/>
      <w:marBottom w:val="0"/>
      <w:divBdr>
        <w:top w:val="none" w:sz="0" w:space="0" w:color="auto"/>
        <w:left w:val="none" w:sz="0" w:space="0" w:color="auto"/>
        <w:bottom w:val="none" w:sz="0" w:space="0" w:color="auto"/>
        <w:right w:val="none" w:sz="0" w:space="0" w:color="auto"/>
      </w:divBdr>
    </w:div>
    <w:div w:id="1313634992">
      <w:bodyDiv w:val="1"/>
      <w:marLeft w:val="0"/>
      <w:marRight w:val="0"/>
      <w:marTop w:val="0"/>
      <w:marBottom w:val="0"/>
      <w:divBdr>
        <w:top w:val="none" w:sz="0" w:space="0" w:color="auto"/>
        <w:left w:val="none" w:sz="0" w:space="0" w:color="auto"/>
        <w:bottom w:val="none" w:sz="0" w:space="0" w:color="auto"/>
        <w:right w:val="none" w:sz="0" w:space="0" w:color="auto"/>
      </w:divBdr>
      <w:divsChild>
        <w:div w:id="1707027414">
          <w:marLeft w:val="480"/>
          <w:marRight w:val="0"/>
          <w:marTop w:val="0"/>
          <w:marBottom w:val="0"/>
          <w:divBdr>
            <w:top w:val="none" w:sz="0" w:space="0" w:color="auto"/>
            <w:left w:val="none" w:sz="0" w:space="0" w:color="auto"/>
            <w:bottom w:val="none" w:sz="0" w:space="0" w:color="auto"/>
            <w:right w:val="none" w:sz="0" w:space="0" w:color="auto"/>
          </w:divBdr>
          <w:divsChild>
            <w:div w:id="16937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7455">
      <w:bodyDiv w:val="1"/>
      <w:marLeft w:val="0"/>
      <w:marRight w:val="0"/>
      <w:marTop w:val="0"/>
      <w:marBottom w:val="0"/>
      <w:divBdr>
        <w:top w:val="none" w:sz="0" w:space="0" w:color="auto"/>
        <w:left w:val="none" w:sz="0" w:space="0" w:color="auto"/>
        <w:bottom w:val="none" w:sz="0" w:space="0" w:color="auto"/>
        <w:right w:val="none" w:sz="0" w:space="0" w:color="auto"/>
      </w:divBdr>
    </w:div>
    <w:div w:id="1399673729">
      <w:bodyDiv w:val="1"/>
      <w:marLeft w:val="0"/>
      <w:marRight w:val="0"/>
      <w:marTop w:val="0"/>
      <w:marBottom w:val="0"/>
      <w:divBdr>
        <w:top w:val="none" w:sz="0" w:space="0" w:color="auto"/>
        <w:left w:val="none" w:sz="0" w:space="0" w:color="auto"/>
        <w:bottom w:val="none" w:sz="0" w:space="0" w:color="auto"/>
        <w:right w:val="none" w:sz="0" w:space="0" w:color="auto"/>
      </w:divBdr>
    </w:div>
    <w:div w:id="1425764889">
      <w:bodyDiv w:val="1"/>
      <w:marLeft w:val="0"/>
      <w:marRight w:val="0"/>
      <w:marTop w:val="0"/>
      <w:marBottom w:val="0"/>
      <w:divBdr>
        <w:top w:val="none" w:sz="0" w:space="0" w:color="auto"/>
        <w:left w:val="none" w:sz="0" w:space="0" w:color="auto"/>
        <w:bottom w:val="none" w:sz="0" w:space="0" w:color="auto"/>
        <w:right w:val="none" w:sz="0" w:space="0" w:color="auto"/>
      </w:divBdr>
      <w:divsChild>
        <w:div w:id="1740051346">
          <w:marLeft w:val="0"/>
          <w:marRight w:val="0"/>
          <w:marTop w:val="0"/>
          <w:marBottom w:val="0"/>
          <w:divBdr>
            <w:top w:val="none" w:sz="0" w:space="0" w:color="auto"/>
            <w:left w:val="none" w:sz="0" w:space="0" w:color="auto"/>
            <w:bottom w:val="none" w:sz="0" w:space="0" w:color="auto"/>
            <w:right w:val="none" w:sz="0" w:space="0" w:color="auto"/>
          </w:divBdr>
          <w:divsChild>
            <w:div w:id="1741563986">
              <w:marLeft w:val="0"/>
              <w:marRight w:val="0"/>
              <w:marTop w:val="0"/>
              <w:marBottom w:val="0"/>
              <w:divBdr>
                <w:top w:val="none" w:sz="0" w:space="0" w:color="auto"/>
                <w:left w:val="none" w:sz="0" w:space="0" w:color="auto"/>
                <w:bottom w:val="none" w:sz="0" w:space="0" w:color="auto"/>
                <w:right w:val="none" w:sz="0" w:space="0" w:color="auto"/>
              </w:divBdr>
              <w:divsChild>
                <w:div w:id="297808335">
                  <w:marLeft w:val="0"/>
                  <w:marRight w:val="0"/>
                  <w:marTop w:val="0"/>
                  <w:marBottom w:val="0"/>
                  <w:divBdr>
                    <w:top w:val="none" w:sz="0" w:space="0" w:color="auto"/>
                    <w:left w:val="none" w:sz="0" w:space="0" w:color="auto"/>
                    <w:bottom w:val="none" w:sz="0" w:space="0" w:color="auto"/>
                    <w:right w:val="none" w:sz="0" w:space="0" w:color="auto"/>
                  </w:divBdr>
                  <w:divsChild>
                    <w:div w:id="11284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682920">
      <w:bodyDiv w:val="1"/>
      <w:marLeft w:val="0"/>
      <w:marRight w:val="0"/>
      <w:marTop w:val="0"/>
      <w:marBottom w:val="0"/>
      <w:divBdr>
        <w:top w:val="none" w:sz="0" w:space="0" w:color="auto"/>
        <w:left w:val="none" w:sz="0" w:space="0" w:color="auto"/>
        <w:bottom w:val="none" w:sz="0" w:space="0" w:color="auto"/>
        <w:right w:val="none" w:sz="0" w:space="0" w:color="auto"/>
      </w:divBdr>
    </w:div>
    <w:div w:id="1702895584">
      <w:bodyDiv w:val="1"/>
      <w:marLeft w:val="0"/>
      <w:marRight w:val="0"/>
      <w:marTop w:val="0"/>
      <w:marBottom w:val="0"/>
      <w:divBdr>
        <w:top w:val="none" w:sz="0" w:space="0" w:color="auto"/>
        <w:left w:val="none" w:sz="0" w:space="0" w:color="auto"/>
        <w:bottom w:val="none" w:sz="0" w:space="0" w:color="auto"/>
        <w:right w:val="none" w:sz="0" w:space="0" w:color="auto"/>
      </w:divBdr>
      <w:divsChild>
        <w:div w:id="1545947858">
          <w:marLeft w:val="480"/>
          <w:marRight w:val="0"/>
          <w:marTop w:val="0"/>
          <w:marBottom w:val="0"/>
          <w:divBdr>
            <w:top w:val="none" w:sz="0" w:space="0" w:color="auto"/>
            <w:left w:val="none" w:sz="0" w:space="0" w:color="auto"/>
            <w:bottom w:val="none" w:sz="0" w:space="0" w:color="auto"/>
            <w:right w:val="none" w:sz="0" w:space="0" w:color="auto"/>
          </w:divBdr>
          <w:divsChild>
            <w:div w:id="11726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6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ter.12526" TargetMode="External"/><Relationship Id="rId13" Type="http://schemas.openxmlformats.org/officeDocument/2006/relationships/hyperlink" Target="https://doi:%2010.2110/PEC.88.01.003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i.org/10.1029/2020TC006159" TargetMode="External"/><Relationship Id="rId17" Type="http://schemas.openxmlformats.org/officeDocument/2006/relationships/hyperlink" Target="https://doi.org/10.1130/GES01426.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2010.2110/PEC.88.01.003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insu.bib.cnrs.fr/10.1144/GSL.SP.2001.188.01.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16/j.marpetgeo.2008.08.004" TargetMode="External"/><Relationship Id="rId23" Type="http://schemas.openxmlformats.org/officeDocument/2006/relationships/footer" Target="footer3.xml"/><Relationship Id="rId10" Type="http://schemas.openxmlformats.org/officeDocument/2006/relationships/hyperlink" Target="https://doi.org/10.1016/j.marpetgeo.2009.12.005"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oi.org/10.1111/j.1365-2117.2011.00511.x" TargetMode="External"/><Relationship Id="rId14" Type="http://schemas.openxmlformats.org/officeDocument/2006/relationships/hyperlink" Target="https://doi:%2010.2110/PEC.88.01.0039" TargetMode="External"/><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8975E-6742-8A40-AEFC-1F70EFBA2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3108</Words>
  <Characters>17722</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dc:creator>
  <cp:keywords/>
  <dc:description/>
  <cp:lastModifiedBy>Gina Harlow</cp:lastModifiedBy>
  <cp:revision>3</cp:revision>
  <cp:lastPrinted>2022-03-17T14:10:00Z</cp:lastPrinted>
  <dcterms:created xsi:type="dcterms:W3CDTF">2022-05-23T10:33:00Z</dcterms:created>
  <dcterms:modified xsi:type="dcterms:W3CDTF">2023-03-06T18:12:00Z</dcterms:modified>
</cp:coreProperties>
</file>