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209C" w14:textId="1EC9B730" w:rsidR="008C3CF9" w:rsidRPr="000B061D" w:rsidRDefault="000B061D" w:rsidP="000B061D">
      <w:pPr>
        <w:pStyle w:val="Arttitle"/>
        <w:spacing w:line="480" w:lineRule="auto"/>
        <w:jc w:val="center"/>
        <w:rPr>
          <w:b/>
          <w:bCs/>
          <w:sz w:val="24"/>
        </w:rPr>
      </w:pPr>
      <w:bookmarkStart w:id="0" w:name="_Hlk492154601"/>
      <w:bookmarkStart w:id="1" w:name="OLE_LINK156"/>
      <w:bookmarkStart w:id="2" w:name="OLE_LINK157"/>
      <w:r w:rsidRPr="000B061D">
        <w:rPr>
          <w:b/>
          <w:bCs/>
          <w:sz w:val="24"/>
        </w:rPr>
        <w:t>Supplementary Material</w:t>
      </w:r>
      <w:r w:rsidR="008C3CF9" w:rsidRPr="000B061D">
        <w:rPr>
          <w:b/>
          <w:bCs/>
          <w:sz w:val="24"/>
        </w:rPr>
        <w:t xml:space="preserve"> for</w:t>
      </w:r>
      <w:r w:rsidRPr="000B061D">
        <w:rPr>
          <w:b/>
          <w:bCs/>
          <w:sz w:val="24"/>
        </w:rPr>
        <w:t xml:space="preserve"> </w:t>
      </w:r>
    </w:p>
    <w:p w14:paraId="245AFDB4" w14:textId="77777777" w:rsidR="008C3CF9" w:rsidRPr="00912616" w:rsidRDefault="008C3CF9" w:rsidP="000B061D">
      <w:pPr>
        <w:widowControl w:val="0"/>
        <w:autoSpaceDE w:val="0"/>
        <w:autoSpaceDN w:val="0"/>
        <w:adjustRightInd w:val="0"/>
        <w:jc w:val="center"/>
        <w:rPr>
          <w:rFonts w:ascii="Arial" w:hAnsi="Arial" w:cs="Arial"/>
          <w:b/>
          <w:bCs/>
          <w:szCs w:val="24"/>
        </w:rPr>
      </w:pPr>
    </w:p>
    <w:p w14:paraId="5E4F3124" w14:textId="7B396F8E" w:rsidR="000B061D" w:rsidRPr="00CA14F8" w:rsidRDefault="000B061D" w:rsidP="000B061D">
      <w:pPr>
        <w:pStyle w:val="Arttitle"/>
        <w:spacing w:line="480" w:lineRule="auto"/>
        <w:jc w:val="center"/>
        <w:rPr>
          <w:b/>
          <w:bCs/>
          <w:sz w:val="22"/>
          <w:szCs w:val="22"/>
        </w:rPr>
      </w:pPr>
      <w:bookmarkStart w:id="3" w:name="OLE_LINK29"/>
      <w:bookmarkStart w:id="4" w:name="OLE_LINK30"/>
      <w:bookmarkStart w:id="5" w:name="OLE_LINK43"/>
      <w:bookmarkEnd w:id="0"/>
      <w:bookmarkEnd w:id="1"/>
      <w:bookmarkEnd w:id="2"/>
      <w:r w:rsidRPr="00CA14F8">
        <w:rPr>
          <w:b/>
          <w:bCs/>
          <w:sz w:val="22"/>
          <w:szCs w:val="22"/>
        </w:rPr>
        <w:t xml:space="preserve">Magmatic processes and compositional variation in granitic pluton </w:t>
      </w:r>
      <w:bookmarkStart w:id="6" w:name="OLE_LINK9"/>
      <w:bookmarkStart w:id="7" w:name="OLE_LINK10"/>
      <w:r w:rsidRPr="00CA14F8">
        <w:rPr>
          <w:b/>
          <w:bCs/>
          <w:sz w:val="22"/>
          <w:szCs w:val="22"/>
        </w:rPr>
        <w:t>construction</w:t>
      </w:r>
      <w:bookmarkEnd w:id="6"/>
      <w:bookmarkEnd w:id="7"/>
      <w:r w:rsidRPr="00CA14F8">
        <w:rPr>
          <w:b/>
          <w:bCs/>
          <w:sz w:val="22"/>
          <w:szCs w:val="22"/>
        </w:rPr>
        <w:t>: the Buya intrusion of West Kunlun, northwestern China</w:t>
      </w:r>
      <w:bookmarkEnd w:id="3"/>
      <w:bookmarkEnd w:id="4"/>
      <w:bookmarkEnd w:id="5"/>
    </w:p>
    <w:p w14:paraId="1F1D13F0" w14:textId="77777777" w:rsidR="000B061D" w:rsidRPr="00D61138" w:rsidRDefault="000B061D" w:rsidP="000B061D">
      <w:pPr>
        <w:pStyle w:val="Author"/>
        <w:spacing w:line="480" w:lineRule="auto"/>
        <w:rPr>
          <w:b w:val="0"/>
          <w:bCs/>
          <w:sz w:val="20"/>
          <w:szCs w:val="20"/>
        </w:rPr>
      </w:pPr>
      <w:bookmarkStart w:id="8" w:name="_Hlk492154470"/>
      <w:bookmarkStart w:id="9" w:name="OLE_LINK60"/>
      <w:r w:rsidRPr="00D61138">
        <w:rPr>
          <w:b w:val="0"/>
          <w:bCs/>
          <w:sz w:val="20"/>
          <w:szCs w:val="20"/>
        </w:rPr>
        <w:t>Chao Wang</w:t>
      </w:r>
      <w:r w:rsidRPr="00D61138">
        <w:rPr>
          <w:b w:val="0"/>
          <w:bCs/>
          <w:sz w:val="20"/>
          <w:szCs w:val="20"/>
          <w:vertAlign w:val="superscript"/>
        </w:rPr>
        <w:t>1,2</w:t>
      </w:r>
      <w:r w:rsidRPr="00D61138">
        <w:rPr>
          <w:b w:val="0"/>
          <w:bCs/>
          <w:sz w:val="20"/>
          <w:szCs w:val="20"/>
        </w:rPr>
        <w:t>*, Liang Liu</w:t>
      </w:r>
      <w:bookmarkStart w:id="10" w:name="OLE_LINK5"/>
      <w:r w:rsidRPr="00D61138">
        <w:rPr>
          <w:b w:val="0"/>
          <w:bCs/>
          <w:sz w:val="20"/>
          <w:szCs w:val="20"/>
          <w:vertAlign w:val="superscript"/>
        </w:rPr>
        <w:t>1</w:t>
      </w:r>
      <w:r w:rsidRPr="00D61138">
        <w:rPr>
          <w:b w:val="0"/>
          <w:bCs/>
          <w:sz w:val="20"/>
          <w:szCs w:val="20"/>
        </w:rPr>
        <w:t>,</w:t>
      </w:r>
      <w:bookmarkStart w:id="11" w:name="OLE_LINK15"/>
      <w:bookmarkStart w:id="12" w:name="OLE_LINK16"/>
      <w:bookmarkEnd w:id="10"/>
      <w:r w:rsidRPr="00D61138">
        <w:rPr>
          <w:b w:val="0"/>
          <w:bCs/>
          <w:sz w:val="20"/>
          <w:szCs w:val="20"/>
        </w:rPr>
        <w:t xml:space="preserve"> </w:t>
      </w:r>
      <w:bookmarkEnd w:id="11"/>
      <w:bookmarkEnd w:id="12"/>
      <w:r w:rsidRPr="00D61138">
        <w:rPr>
          <w:b w:val="0"/>
          <w:bCs/>
          <w:sz w:val="20"/>
          <w:szCs w:val="20"/>
        </w:rPr>
        <w:t>Wen-qiang Yang</w:t>
      </w:r>
      <w:r w:rsidRPr="00D61138">
        <w:rPr>
          <w:b w:val="0"/>
          <w:bCs/>
          <w:sz w:val="20"/>
          <w:szCs w:val="20"/>
          <w:vertAlign w:val="superscript"/>
        </w:rPr>
        <w:t>1</w:t>
      </w:r>
      <w:r w:rsidRPr="00D61138">
        <w:rPr>
          <w:b w:val="0"/>
          <w:bCs/>
          <w:sz w:val="20"/>
          <w:szCs w:val="20"/>
        </w:rPr>
        <w:t xml:space="preserve">, </w:t>
      </w:r>
      <w:bookmarkStart w:id="13" w:name="OLE_LINK17"/>
      <w:bookmarkStart w:id="14" w:name="OLE_LINK18"/>
      <w:r w:rsidRPr="00D61138">
        <w:rPr>
          <w:b w:val="0"/>
          <w:bCs/>
          <w:sz w:val="20"/>
          <w:szCs w:val="20"/>
        </w:rPr>
        <w:t>Yu-ting Cao</w:t>
      </w:r>
      <w:bookmarkEnd w:id="13"/>
      <w:bookmarkEnd w:id="14"/>
      <w:r w:rsidRPr="00D61138">
        <w:rPr>
          <w:b w:val="0"/>
          <w:bCs/>
          <w:sz w:val="20"/>
          <w:szCs w:val="20"/>
          <w:vertAlign w:val="superscript"/>
        </w:rPr>
        <w:t>2</w:t>
      </w:r>
      <w:r w:rsidRPr="00D61138">
        <w:rPr>
          <w:b w:val="0"/>
          <w:bCs/>
          <w:sz w:val="20"/>
          <w:szCs w:val="20"/>
        </w:rPr>
        <w:t xml:space="preserve">, </w:t>
      </w:r>
      <w:bookmarkStart w:id="15" w:name="OLE_LINK65"/>
      <w:bookmarkStart w:id="16" w:name="OLE_LINK71"/>
      <w:r w:rsidRPr="00D61138">
        <w:rPr>
          <w:b w:val="0"/>
          <w:bCs/>
          <w:sz w:val="20"/>
          <w:szCs w:val="20"/>
        </w:rPr>
        <w:t>R. Hugh Smithies</w:t>
      </w:r>
      <w:bookmarkEnd w:id="8"/>
      <w:bookmarkEnd w:id="9"/>
      <w:r w:rsidRPr="00D61138">
        <w:rPr>
          <w:b w:val="0"/>
          <w:bCs/>
          <w:sz w:val="20"/>
          <w:szCs w:val="20"/>
          <w:vertAlign w:val="superscript"/>
        </w:rPr>
        <w:t>3</w:t>
      </w:r>
      <w:bookmarkEnd w:id="15"/>
      <w:bookmarkEnd w:id="16"/>
    </w:p>
    <w:p w14:paraId="3992A5AB" w14:textId="77777777" w:rsidR="000B061D" w:rsidRPr="00D61138" w:rsidRDefault="000B061D" w:rsidP="000B061D">
      <w:pPr>
        <w:spacing w:line="480" w:lineRule="auto"/>
        <w:rPr>
          <w:i/>
          <w:sz w:val="20"/>
          <w:lang w:eastAsia="zh-CN"/>
        </w:rPr>
      </w:pPr>
      <w:r w:rsidRPr="00D61138">
        <w:rPr>
          <w:i/>
          <w:sz w:val="20"/>
          <w:vertAlign w:val="superscript"/>
        </w:rPr>
        <w:t>1</w:t>
      </w:r>
      <w:r w:rsidRPr="00D61138">
        <w:rPr>
          <w:i/>
          <w:sz w:val="20"/>
        </w:rPr>
        <w:t xml:space="preserve"> State Key Laboratory of Continental Dynamics,</w:t>
      </w:r>
      <w:bookmarkStart w:id="17" w:name="OLE_LINK21"/>
      <w:bookmarkStart w:id="18" w:name="OLE_LINK24"/>
      <w:r w:rsidRPr="00D61138">
        <w:rPr>
          <w:i/>
          <w:sz w:val="20"/>
        </w:rPr>
        <w:t xml:space="preserve"> </w:t>
      </w:r>
      <w:bookmarkStart w:id="19" w:name="OLE_LINK46"/>
      <w:bookmarkStart w:id="20" w:name="OLE_LINK54"/>
      <w:r w:rsidRPr="00D61138">
        <w:rPr>
          <w:i/>
          <w:sz w:val="20"/>
        </w:rPr>
        <w:t>Department of Geology</w:t>
      </w:r>
      <w:bookmarkEnd w:id="17"/>
      <w:bookmarkEnd w:id="18"/>
      <w:bookmarkEnd w:id="19"/>
      <w:bookmarkEnd w:id="20"/>
      <w:r w:rsidRPr="00D61138">
        <w:rPr>
          <w:i/>
          <w:sz w:val="20"/>
        </w:rPr>
        <w:t>, Northwest University, Xi’an 710069, P R China</w:t>
      </w:r>
    </w:p>
    <w:p w14:paraId="49EA75E6" w14:textId="77777777" w:rsidR="000B061D" w:rsidRPr="00D61138" w:rsidRDefault="000B061D" w:rsidP="000B061D">
      <w:pPr>
        <w:spacing w:line="480" w:lineRule="auto"/>
        <w:rPr>
          <w:i/>
          <w:sz w:val="20"/>
          <w:lang w:eastAsia="zh-CN"/>
        </w:rPr>
      </w:pPr>
      <w:r w:rsidRPr="00D61138">
        <w:rPr>
          <w:i/>
          <w:sz w:val="20"/>
          <w:vertAlign w:val="superscript"/>
        </w:rPr>
        <w:t>2</w:t>
      </w:r>
      <w:r w:rsidRPr="00D61138">
        <w:rPr>
          <w:i/>
          <w:sz w:val="20"/>
        </w:rPr>
        <w:t xml:space="preserve"> Shandong Provincial Key Laboratory of Depositional Mineralization &amp; Sedimentary Minerals, Shandong University of Science and Technology, Qingdao 266590, China; </w:t>
      </w:r>
    </w:p>
    <w:p w14:paraId="42B9DE28" w14:textId="77777777" w:rsidR="000B061D" w:rsidRPr="00D61138" w:rsidRDefault="000B061D" w:rsidP="000B061D">
      <w:pPr>
        <w:spacing w:line="480" w:lineRule="auto"/>
        <w:rPr>
          <w:i/>
          <w:sz w:val="20"/>
        </w:rPr>
      </w:pPr>
      <w:r w:rsidRPr="00D61138">
        <w:rPr>
          <w:i/>
          <w:sz w:val="20"/>
          <w:vertAlign w:val="superscript"/>
        </w:rPr>
        <w:t xml:space="preserve">3 </w:t>
      </w:r>
      <w:bookmarkStart w:id="21" w:name="OLE_LINK72"/>
      <w:bookmarkStart w:id="22" w:name="OLE_LINK73"/>
      <w:r w:rsidRPr="00D61138">
        <w:rPr>
          <w:i/>
          <w:sz w:val="20"/>
        </w:rPr>
        <w:t>Geological Survey of Western Australia</w:t>
      </w:r>
      <w:bookmarkEnd w:id="21"/>
      <w:bookmarkEnd w:id="22"/>
      <w:r w:rsidRPr="00D61138">
        <w:rPr>
          <w:i/>
          <w:sz w:val="20"/>
        </w:rPr>
        <w:t xml:space="preserve">, 100 Plain Street, East </w:t>
      </w:r>
      <w:bookmarkStart w:id="23" w:name="OLE_LINK68"/>
      <w:r w:rsidRPr="00D61138">
        <w:rPr>
          <w:i/>
          <w:sz w:val="20"/>
        </w:rPr>
        <w:t>Perth</w:t>
      </w:r>
      <w:bookmarkEnd w:id="23"/>
      <w:r w:rsidRPr="00D61138">
        <w:rPr>
          <w:i/>
          <w:sz w:val="20"/>
        </w:rPr>
        <w:t xml:space="preserve">, WA 6004, Australia </w:t>
      </w:r>
    </w:p>
    <w:p w14:paraId="6F8C8A0E" w14:textId="77777777" w:rsidR="000B061D" w:rsidRPr="00D61138" w:rsidRDefault="000B061D" w:rsidP="000B061D">
      <w:pPr>
        <w:pStyle w:val="Author"/>
        <w:spacing w:line="480" w:lineRule="auto"/>
        <w:rPr>
          <w:sz w:val="20"/>
          <w:szCs w:val="20"/>
        </w:rPr>
      </w:pPr>
    </w:p>
    <w:p w14:paraId="7D994001" w14:textId="77777777" w:rsidR="000B061D" w:rsidRPr="00D61138" w:rsidRDefault="000B061D" w:rsidP="000B061D">
      <w:pPr>
        <w:spacing w:line="480" w:lineRule="auto"/>
        <w:rPr>
          <w:i/>
          <w:sz w:val="20"/>
          <w:lang w:eastAsia="zh-CN"/>
        </w:rPr>
      </w:pPr>
      <w:r w:rsidRPr="00D61138">
        <w:rPr>
          <w:sz w:val="20"/>
        </w:rPr>
        <w:t>*</w:t>
      </w:r>
      <w:r w:rsidRPr="00D61138">
        <w:rPr>
          <w:b/>
          <w:i/>
          <w:sz w:val="20"/>
          <w:lang w:eastAsia="zh-CN"/>
        </w:rPr>
        <w:t xml:space="preserve">Correspondence information: </w:t>
      </w:r>
      <w:r w:rsidRPr="00D61138">
        <w:rPr>
          <w:i/>
          <w:sz w:val="20"/>
          <w:lang w:eastAsia="zh-CN"/>
        </w:rPr>
        <w:t xml:space="preserve">Chao Wang, </w:t>
      </w:r>
      <w:r w:rsidRPr="00D61138">
        <w:rPr>
          <w:i/>
          <w:sz w:val="20"/>
        </w:rPr>
        <w:t xml:space="preserve">E-mail address: </w:t>
      </w:r>
      <w:hyperlink r:id="rId8" w:history="1">
        <w:r w:rsidRPr="00D61138">
          <w:rPr>
            <w:rStyle w:val="Hyperlink"/>
            <w:i/>
            <w:sz w:val="20"/>
            <w:lang w:eastAsia="zh-CN"/>
          </w:rPr>
          <w:t>Chaowang@nwu.edu.cn</w:t>
        </w:r>
      </w:hyperlink>
    </w:p>
    <w:p w14:paraId="59F7181D" w14:textId="32BC68D1" w:rsidR="00D355C2" w:rsidRDefault="00D355C2" w:rsidP="00D355C2">
      <w:pPr>
        <w:jc w:val="center"/>
        <w:outlineLvl w:val="0"/>
        <w:rPr>
          <w:rFonts w:ascii="Arial" w:hAnsi="Arial" w:cs="Arial"/>
          <w:sz w:val="22"/>
          <w:szCs w:val="22"/>
        </w:rPr>
      </w:pPr>
    </w:p>
    <w:p w14:paraId="010DDFB0" w14:textId="77777777" w:rsidR="008C3CF9" w:rsidRPr="00DC4279" w:rsidRDefault="008C3CF9" w:rsidP="00D355C2">
      <w:pPr>
        <w:jc w:val="center"/>
        <w:outlineLvl w:val="0"/>
        <w:rPr>
          <w:rFonts w:ascii="Arial" w:hAnsi="Arial" w:cs="Arial"/>
          <w:sz w:val="22"/>
          <w:szCs w:val="22"/>
        </w:rPr>
      </w:pPr>
    </w:p>
    <w:p w14:paraId="0EC742B6" w14:textId="3845CB12" w:rsidR="001967D4" w:rsidRPr="00DC4279" w:rsidRDefault="008C3CF9" w:rsidP="002C3957">
      <w:pPr>
        <w:pStyle w:val="SMHeading"/>
        <w:rPr>
          <w:rFonts w:ascii="Arial" w:hAnsi="Arial" w:cs="Arial"/>
          <w:sz w:val="22"/>
          <w:szCs w:val="22"/>
        </w:rPr>
      </w:pPr>
      <w:r w:rsidRPr="00912616">
        <w:rPr>
          <w:rFonts w:ascii="Arial" w:hAnsi="Arial" w:cs="Arial"/>
        </w:rPr>
        <w:t xml:space="preserve">Appendix A. </w:t>
      </w:r>
      <w:r w:rsidR="001967D4" w:rsidRPr="00DC4279">
        <w:rPr>
          <w:rFonts w:ascii="Arial" w:hAnsi="Arial" w:cs="Arial"/>
          <w:sz w:val="22"/>
          <w:szCs w:val="22"/>
        </w:rPr>
        <w:t>Methods</w:t>
      </w:r>
    </w:p>
    <w:p w14:paraId="2C1A846E" w14:textId="77777777" w:rsidR="000B061D" w:rsidRPr="000B061D" w:rsidRDefault="000B061D" w:rsidP="000B061D">
      <w:pPr>
        <w:pStyle w:val="SMText"/>
        <w:ind w:firstLineChars="200" w:firstLine="400"/>
        <w:jc w:val="both"/>
        <w:rPr>
          <w:sz w:val="20"/>
        </w:rPr>
      </w:pPr>
      <w:r w:rsidRPr="00D61138">
        <w:rPr>
          <w:sz w:val="20"/>
          <w:lang w:eastAsia="zh-CN"/>
        </w:rPr>
        <w:t>Z</w:t>
      </w:r>
      <w:r w:rsidRPr="00D61138">
        <w:rPr>
          <w:sz w:val="20"/>
        </w:rPr>
        <w:t>ircon grains were separated from a representative sample of PQS, FG and ME by heavy-liquid and mag</w:t>
      </w:r>
      <w:r w:rsidRPr="000B061D">
        <w:rPr>
          <w:sz w:val="20"/>
        </w:rPr>
        <w:t>netic techniques followed by hand picking under a binocular microscope. Zircon grains were mounted in epoxy resin discs, and then polished and coated with carbon. Cathodoluminescence (CL) images of the zircons were taken using a Mono CL3+ microprobe prior to U–Pb dating and Lu–Hf analysis at the State Key Laboratory of Continental Dynamics at Northwest University, China.</w:t>
      </w:r>
      <w:r w:rsidRPr="000B061D">
        <w:rPr>
          <w:sz w:val="20"/>
          <w:lang w:eastAsia="zh-CN"/>
        </w:rPr>
        <w:t xml:space="preserve"> </w:t>
      </w:r>
    </w:p>
    <w:p w14:paraId="10574C33" w14:textId="0DAED595" w:rsidR="000B061D" w:rsidRPr="000B061D" w:rsidRDefault="000B061D" w:rsidP="000B061D">
      <w:pPr>
        <w:pStyle w:val="SMText"/>
        <w:ind w:firstLineChars="200" w:firstLine="400"/>
        <w:jc w:val="both"/>
        <w:rPr>
          <w:sz w:val="20"/>
        </w:rPr>
      </w:pPr>
      <w:r w:rsidRPr="000B061D">
        <w:rPr>
          <w:sz w:val="20"/>
        </w:rPr>
        <w:t xml:space="preserve">Samples 18YL-1, 07HT-38 and 07HT-39 of PQS were conducted by U-Pb dating at the State Key Laboratory of Continental Dynamics at Northwest University, China. We conducted U-Pb spot dating of zircons using an Agilent 7500a ICP-MS. The ICP-MS equipped with unique Shield Torch brought about higher sensitivity. Zircon Hf isotope analysis was conducted on a Nu PlasmaHR MC-ICP-MS (Nu Instruments Ltd., UK), using a GeoLas 200M laser ablation system consisting of a ComPex102 (193 nm ArF-excimer laser, Lambda Physik) and an optical system (MicroLas). U-Pb dating of </w:t>
      </w:r>
      <w:r w:rsidRPr="000B061D">
        <w:rPr>
          <w:sz w:val="20"/>
          <w:lang w:eastAsia="zh-CN"/>
        </w:rPr>
        <w:t>FG (</w:t>
      </w:r>
      <w:r w:rsidRPr="000B061D">
        <w:rPr>
          <w:sz w:val="20"/>
        </w:rPr>
        <w:t>S</w:t>
      </w:r>
      <w:r w:rsidRPr="000B061D">
        <w:rPr>
          <w:sz w:val="20"/>
          <w:lang w:eastAsia="zh-CN"/>
        </w:rPr>
        <w:t xml:space="preserve">ample 12TK-16) was </w:t>
      </w:r>
      <w:r w:rsidRPr="000B061D">
        <w:rPr>
          <w:sz w:val="20"/>
        </w:rPr>
        <w:t>carried out using a New Wave-193 nm ArF-excimer laser-ablation system linked to a Neptune multiple-collector inductively coupled plasma mass spectrometer (LA-MC-ICP-MS)</w:t>
      </w:r>
      <w:r w:rsidRPr="000B061D">
        <w:rPr>
          <w:sz w:val="20"/>
          <w:lang w:eastAsia="zh-CN"/>
        </w:rPr>
        <w:t xml:space="preserve"> at Tianjin Centre of China Geological Survey.</w:t>
      </w:r>
      <w:r w:rsidRPr="000B061D">
        <w:rPr>
          <w:sz w:val="20"/>
        </w:rPr>
        <w:t xml:space="preserve"> Before analysis, ICP-MS operating conditions were generally optimized using continuous ablation of reference glass NIST SRM 610, to provide maximum sensitivity for the high masses while maintaining low oxide formation (ThO+/Th+&lt;2%) and low background. Five sample analyses were followed by one zircon 91500 and one NIST610 measurements. U, Th and Pb concentrations were calibrated by using </w:t>
      </w:r>
      <w:r w:rsidRPr="000B061D">
        <w:rPr>
          <w:sz w:val="20"/>
          <w:vertAlign w:val="superscript"/>
        </w:rPr>
        <w:t>29</w:t>
      </w:r>
      <w:r w:rsidRPr="000B061D">
        <w:rPr>
          <w:sz w:val="20"/>
        </w:rPr>
        <w:t xml:space="preserve">Si as the internal standard and NIST SRM 610 as the external standard. </w:t>
      </w:r>
      <w:r w:rsidRPr="000B061D">
        <w:rPr>
          <w:sz w:val="20"/>
          <w:vertAlign w:val="superscript"/>
        </w:rPr>
        <w:t>207</w:t>
      </w:r>
      <w:r w:rsidRPr="000B061D">
        <w:rPr>
          <w:sz w:val="20"/>
        </w:rPr>
        <w:t>Pb/</w:t>
      </w:r>
      <w:r w:rsidRPr="000B061D">
        <w:rPr>
          <w:sz w:val="20"/>
          <w:vertAlign w:val="superscript"/>
        </w:rPr>
        <w:t>206</w:t>
      </w:r>
      <w:r w:rsidRPr="000B061D">
        <w:rPr>
          <w:sz w:val="20"/>
        </w:rPr>
        <w:t xml:space="preserve">Pb and </w:t>
      </w:r>
      <w:r w:rsidRPr="000B061D">
        <w:rPr>
          <w:sz w:val="20"/>
          <w:vertAlign w:val="superscript"/>
        </w:rPr>
        <w:t>206</w:t>
      </w:r>
      <w:r w:rsidRPr="000B061D">
        <w:rPr>
          <w:sz w:val="20"/>
        </w:rPr>
        <w:t>Pb/</w:t>
      </w:r>
      <w:r w:rsidRPr="000B061D">
        <w:rPr>
          <w:sz w:val="20"/>
          <w:vertAlign w:val="superscript"/>
        </w:rPr>
        <w:t>238</w:t>
      </w:r>
      <w:r w:rsidRPr="000B061D">
        <w:rPr>
          <w:sz w:val="20"/>
        </w:rPr>
        <w:t>U ratios were calculated using the GLITTER 4.0 program</w:t>
      </w:r>
      <w:r w:rsidRPr="000B061D">
        <w:rPr>
          <w:color w:val="000000"/>
          <w:sz w:val="20"/>
        </w:rPr>
        <w:t xml:space="preserve">. The </w:t>
      </w:r>
      <w:r w:rsidRPr="000B061D">
        <w:rPr>
          <w:color w:val="000000"/>
          <w:sz w:val="20"/>
          <w:vertAlign w:val="superscript"/>
        </w:rPr>
        <w:t>207</w:t>
      </w:r>
      <w:r w:rsidRPr="000B061D">
        <w:rPr>
          <w:color w:val="000000"/>
          <w:sz w:val="20"/>
        </w:rPr>
        <w:t>Pb/</w:t>
      </w:r>
      <w:r w:rsidRPr="000B061D">
        <w:rPr>
          <w:color w:val="000000"/>
          <w:sz w:val="20"/>
          <w:vertAlign w:val="superscript"/>
        </w:rPr>
        <w:t>235</w:t>
      </w:r>
      <w:r w:rsidRPr="000B061D">
        <w:rPr>
          <w:color w:val="000000"/>
          <w:sz w:val="20"/>
        </w:rPr>
        <w:t xml:space="preserve">U ratio was calculated from the values of </w:t>
      </w:r>
      <w:r w:rsidRPr="000B061D">
        <w:rPr>
          <w:color w:val="000000"/>
          <w:sz w:val="20"/>
          <w:vertAlign w:val="superscript"/>
        </w:rPr>
        <w:t>207</w:t>
      </w:r>
      <w:r w:rsidRPr="000B061D">
        <w:rPr>
          <w:color w:val="000000"/>
          <w:sz w:val="20"/>
        </w:rPr>
        <w:t>Pb/</w:t>
      </w:r>
      <w:r w:rsidRPr="000B061D">
        <w:rPr>
          <w:color w:val="000000"/>
          <w:sz w:val="20"/>
          <w:vertAlign w:val="superscript"/>
        </w:rPr>
        <w:t>206</w:t>
      </w:r>
      <w:r w:rsidRPr="000B061D">
        <w:rPr>
          <w:color w:val="000000"/>
          <w:sz w:val="20"/>
        </w:rPr>
        <w:t xml:space="preserve">Pb and </w:t>
      </w:r>
      <w:r w:rsidRPr="000B061D">
        <w:rPr>
          <w:color w:val="000000"/>
          <w:sz w:val="20"/>
          <w:vertAlign w:val="superscript"/>
        </w:rPr>
        <w:t>206</w:t>
      </w:r>
      <w:r w:rsidRPr="000B061D">
        <w:rPr>
          <w:color w:val="000000"/>
          <w:sz w:val="20"/>
        </w:rPr>
        <w:t>Pb/</w:t>
      </w:r>
      <w:r w:rsidRPr="000B061D">
        <w:rPr>
          <w:color w:val="000000"/>
          <w:sz w:val="20"/>
          <w:vertAlign w:val="superscript"/>
        </w:rPr>
        <w:t>238</w:t>
      </w:r>
      <w:r w:rsidRPr="000B061D">
        <w:rPr>
          <w:color w:val="000000"/>
          <w:sz w:val="20"/>
        </w:rPr>
        <w:t>U. In order to check the data quality, standard zircons 91500 and GJ-1 were added, respectively, which are in good agreement with the recommended ID-TIMS age of 1062.4±0.6 Ma (2</w:t>
      </w:r>
      <w:r w:rsidRPr="000B061D">
        <w:rPr>
          <w:rFonts w:eastAsia="SymbolMT"/>
          <w:color w:val="000000"/>
          <w:sz w:val="20"/>
        </w:rPr>
        <w:t>σ</w:t>
      </w:r>
      <w:r w:rsidRPr="000B061D">
        <w:rPr>
          <w:color w:val="000000"/>
          <w:sz w:val="20"/>
        </w:rPr>
        <w:t>) (</w:t>
      </w:r>
      <w:r w:rsidRPr="000B061D">
        <w:rPr>
          <w:color w:val="0000FF"/>
          <w:sz w:val="20"/>
        </w:rPr>
        <w:t>Wiedenbeck et al. 1995</w:t>
      </w:r>
      <w:r w:rsidRPr="000B061D">
        <w:rPr>
          <w:color w:val="000000"/>
          <w:sz w:val="20"/>
        </w:rPr>
        <w:t>) and 608.53±0.37 Ma (2</w:t>
      </w:r>
      <w:r w:rsidRPr="000B061D">
        <w:rPr>
          <w:rFonts w:eastAsia="SymbolMT"/>
          <w:color w:val="000000"/>
          <w:sz w:val="20"/>
        </w:rPr>
        <w:t>σ</w:t>
      </w:r>
      <w:r w:rsidRPr="000B061D">
        <w:rPr>
          <w:color w:val="000000"/>
          <w:sz w:val="20"/>
        </w:rPr>
        <w:t xml:space="preserve">) </w:t>
      </w:r>
      <w:r w:rsidRPr="000B061D">
        <w:rPr>
          <w:color w:val="0000FF"/>
          <w:sz w:val="20"/>
        </w:rPr>
        <w:t>(Simon et al</w:t>
      </w:r>
      <w:r w:rsidR="00662890">
        <w:rPr>
          <w:color w:val="0000FF"/>
          <w:sz w:val="20"/>
        </w:rPr>
        <w:t>.</w:t>
      </w:r>
      <w:r w:rsidRPr="000B061D">
        <w:rPr>
          <w:color w:val="0000FF"/>
          <w:sz w:val="20"/>
        </w:rPr>
        <w:t xml:space="preserve"> 2004)</w:t>
      </w:r>
      <w:r w:rsidRPr="000B061D">
        <w:rPr>
          <w:color w:val="000000"/>
          <w:sz w:val="20"/>
        </w:rPr>
        <w:t xml:space="preserve">. </w:t>
      </w:r>
      <w:r w:rsidRPr="000B061D">
        <w:rPr>
          <w:sz w:val="20"/>
        </w:rPr>
        <w:t xml:space="preserve">Apparent and discordia U-Pb ages </w:t>
      </w:r>
      <w:r w:rsidRPr="000B061D">
        <w:rPr>
          <w:sz w:val="20"/>
        </w:rPr>
        <w:lastRenderedPageBreak/>
        <w:t>were calculated using the ISOPLOT (</w:t>
      </w:r>
      <w:r w:rsidRPr="000B061D">
        <w:rPr>
          <w:color w:val="0000FF"/>
          <w:sz w:val="20"/>
        </w:rPr>
        <w:t>Ludwig K R, 2003</w:t>
      </w:r>
      <w:r w:rsidRPr="000B061D">
        <w:rPr>
          <w:sz w:val="20"/>
        </w:rPr>
        <w:t xml:space="preserve">). The detailed instrumental parameters and analytical procedures are documented by </w:t>
      </w:r>
      <w:r w:rsidRPr="000B061D">
        <w:rPr>
          <w:color w:val="0000FF"/>
          <w:sz w:val="20"/>
        </w:rPr>
        <w:t>Yuan et al (2008)</w:t>
      </w:r>
      <w:r w:rsidRPr="000B061D">
        <w:rPr>
          <w:sz w:val="20"/>
        </w:rPr>
        <w:t>.</w:t>
      </w:r>
    </w:p>
    <w:p w14:paraId="00130B03" w14:textId="60CB401F" w:rsidR="000B061D" w:rsidRPr="000B061D" w:rsidRDefault="000B061D" w:rsidP="000B061D">
      <w:pPr>
        <w:pStyle w:val="SMText"/>
        <w:ind w:firstLineChars="200" w:firstLine="400"/>
        <w:jc w:val="both"/>
        <w:rPr>
          <w:color w:val="000000"/>
          <w:sz w:val="20"/>
        </w:rPr>
      </w:pPr>
      <w:r w:rsidRPr="000B061D">
        <w:rPr>
          <w:sz w:val="20"/>
        </w:rPr>
        <w:t>For</w:t>
      </w:r>
      <w:r w:rsidRPr="000B061D">
        <w:rPr>
          <w:i/>
          <w:iCs/>
          <w:sz w:val="20"/>
        </w:rPr>
        <w:t xml:space="preserve"> </w:t>
      </w:r>
      <w:r w:rsidRPr="000B061D">
        <w:rPr>
          <w:sz w:val="20"/>
        </w:rPr>
        <w:t xml:space="preserve">Lu-Hf isotope analyses of 07HT-38 and 07HT-39, conducted at the State Key Laboratory of Continental Dynamics at Northwest University, China interference of </w:t>
      </w:r>
      <w:r w:rsidRPr="000B061D">
        <w:rPr>
          <w:sz w:val="20"/>
          <w:vertAlign w:val="superscript"/>
        </w:rPr>
        <w:t>176</w:t>
      </w:r>
      <w:r w:rsidRPr="000B061D">
        <w:rPr>
          <w:sz w:val="20"/>
        </w:rPr>
        <w:t xml:space="preserve">Lu on </w:t>
      </w:r>
      <w:r w:rsidRPr="000B061D">
        <w:rPr>
          <w:sz w:val="20"/>
          <w:vertAlign w:val="superscript"/>
        </w:rPr>
        <w:t>176</w:t>
      </w:r>
      <w:r w:rsidRPr="000B061D">
        <w:rPr>
          <w:sz w:val="20"/>
        </w:rPr>
        <w:t xml:space="preserve">Hf was corrected by measuring the intensity of interference-free </w:t>
      </w:r>
      <w:r w:rsidRPr="000B061D">
        <w:rPr>
          <w:sz w:val="20"/>
          <w:vertAlign w:val="superscript"/>
        </w:rPr>
        <w:t>175</w:t>
      </w:r>
      <w:r w:rsidRPr="000B061D">
        <w:rPr>
          <w:sz w:val="20"/>
        </w:rPr>
        <w:t xml:space="preserve">Lu isotope and the recommended </w:t>
      </w:r>
      <w:r w:rsidRPr="000B061D">
        <w:rPr>
          <w:sz w:val="20"/>
          <w:vertAlign w:val="superscript"/>
        </w:rPr>
        <w:t>176</w:t>
      </w:r>
      <w:r w:rsidRPr="000B061D">
        <w:rPr>
          <w:sz w:val="20"/>
        </w:rPr>
        <w:t>Lu /</w:t>
      </w:r>
      <w:r w:rsidRPr="000B061D">
        <w:rPr>
          <w:sz w:val="20"/>
          <w:vertAlign w:val="superscript"/>
        </w:rPr>
        <w:t>175</w:t>
      </w:r>
      <w:r w:rsidRPr="000B061D">
        <w:rPr>
          <w:sz w:val="20"/>
        </w:rPr>
        <w:t xml:space="preserve">Lu ratio of 0.02669 was applied </w:t>
      </w:r>
      <w:r w:rsidRPr="000B061D">
        <w:rPr>
          <w:rFonts w:eastAsia="FangSong_GB2312"/>
          <w:sz w:val="20"/>
        </w:rPr>
        <w:t>(</w:t>
      </w:r>
      <w:r w:rsidRPr="000B061D">
        <w:rPr>
          <w:rFonts w:eastAsia="FangSong_GB2312"/>
          <w:noProof/>
          <w:color w:val="0000FF"/>
          <w:sz w:val="20"/>
        </w:rPr>
        <w:t>De Biévre and Taylor 1993</w:t>
      </w:r>
      <w:r w:rsidRPr="000B061D">
        <w:rPr>
          <w:rFonts w:eastAsia="FangSong_GB2312"/>
          <w:sz w:val="20"/>
        </w:rPr>
        <w:t>)</w:t>
      </w:r>
      <w:r w:rsidRPr="000B061D">
        <w:rPr>
          <w:sz w:val="20"/>
        </w:rPr>
        <w:t xml:space="preserve">. Similarly, the interference of </w:t>
      </w:r>
      <w:r w:rsidRPr="000B061D">
        <w:rPr>
          <w:sz w:val="20"/>
          <w:vertAlign w:val="superscript"/>
        </w:rPr>
        <w:t>176</w:t>
      </w:r>
      <w:r w:rsidRPr="000B061D">
        <w:rPr>
          <w:sz w:val="20"/>
        </w:rPr>
        <w:t xml:space="preserve">Yb on </w:t>
      </w:r>
      <w:r w:rsidRPr="000B061D">
        <w:rPr>
          <w:sz w:val="20"/>
          <w:vertAlign w:val="superscript"/>
        </w:rPr>
        <w:t>176</w:t>
      </w:r>
      <w:r w:rsidRPr="000B061D">
        <w:rPr>
          <w:sz w:val="20"/>
        </w:rPr>
        <w:t xml:space="preserve">Hf was corrected by measuring </w:t>
      </w:r>
      <w:r w:rsidRPr="000B061D">
        <w:rPr>
          <w:sz w:val="20"/>
          <w:vertAlign w:val="superscript"/>
        </w:rPr>
        <w:t>172</w:t>
      </w:r>
      <w:r w:rsidRPr="000B061D">
        <w:rPr>
          <w:sz w:val="20"/>
        </w:rPr>
        <w:t xml:space="preserve">Yb and using </w:t>
      </w:r>
      <w:r w:rsidRPr="000B061D">
        <w:rPr>
          <w:sz w:val="20"/>
          <w:vertAlign w:val="superscript"/>
        </w:rPr>
        <w:t>176</w:t>
      </w:r>
      <w:r w:rsidRPr="000B061D">
        <w:rPr>
          <w:sz w:val="20"/>
        </w:rPr>
        <w:t>Lu /</w:t>
      </w:r>
      <w:r w:rsidRPr="000B061D">
        <w:rPr>
          <w:sz w:val="20"/>
          <w:vertAlign w:val="superscript"/>
        </w:rPr>
        <w:t>172</w:t>
      </w:r>
      <w:r w:rsidRPr="000B061D">
        <w:rPr>
          <w:sz w:val="20"/>
        </w:rPr>
        <w:t xml:space="preserve">Yb ratio of 0.5886 </w:t>
      </w:r>
      <w:r w:rsidRPr="000B061D">
        <w:rPr>
          <w:rFonts w:eastAsia="FangSong_GB2312"/>
          <w:sz w:val="20"/>
        </w:rPr>
        <w:t>(</w:t>
      </w:r>
      <w:r w:rsidRPr="000B061D">
        <w:rPr>
          <w:rFonts w:eastAsia="FangSong_GB2312"/>
          <w:color w:val="0000FF"/>
          <w:sz w:val="20"/>
        </w:rPr>
        <w:t>Chu et al. 2002</w:t>
      </w:r>
      <w:r w:rsidRPr="000B061D">
        <w:rPr>
          <w:rFonts w:eastAsia="FangSong_GB2312"/>
          <w:sz w:val="20"/>
        </w:rPr>
        <w:t>)</w:t>
      </w:r>
      <w:r w:rsidRPr="000B061D">
        <w:rPr>
          <w:sz w:val="20"/>
        </w:rPr>
        <w:t xml:space="preserve">. Standard zircons 91500 and GJ-1 were used as the reference standards for calibration and monitoring the condition of analytical instrumentation. The obtained </w:t>
      </w:r>
      <w:r w:rsidRPr="000B061D">
        <w:rPr>
          <w:sz w:val="20"/>
          <w:vertAlign w:val="superscript"/>
        </w:rPr>
        <w:t>176</w:t>
      </w:r>
      <w:r w:rsidRPr="000B061D">
        <w:rPr>
          <w:sz w:val="20"/>
        </w:rPr>
        <w:t>Hf/</w:t>
      </w:r>
      <w:r w:rsidRPr="000B061D">
        <w:rPr>
          <w:sz w:val="20"/>
          <w:vertAlign w:val="superscript"/>
        </w:rPr>
        <w:t>177</w:t>
      </w:r>
      <w:r w:rsidRPr="000B061D">
        <w:rPr>
          <w:sz w:val="20"/>
        </w:rPr>
        <w:t xml:space="preserve">Hf ratios are 0.282295±0.000027 (n=14, 2σ) for 91500 and 0.282734±0.000015 (n=16, 2σ) for GJ-1. These results are in good agreement with the recommended </w:t>
      </w:r>
      <w:r w:rsidRPr="000B061D">
        <w:rPr>
          <w:sz w:val="20"/>
          <w:vertAlign w:val="superscript"/>
        </w:rPr>
        <w:t>176</w:t>
      </w:r>
      <w:r w:rsidRPr="000B061D">
        <w:rPr>
          <w:sz w:val="20"/>
        </w:rPr>
        <w:t>Hf/</w:t>
      </w:r>
      <w:r w:rsidRPr="000B061D">
        <w:rPr>
          <w:sz w:val="20"/>
          <w:vertAlign w:val="superscript"/>
        </w:rPr>
        <w:t>177</w:t>
      </w:r>
      <w:r w:rsidRPr="000B061D">
        <w:rPr>
          <w:sz w:val="20"/>
        </w:rPr>
        <w:t xml:space="preserve">Hf ratios of 0.2823075±58 (2σ) (Wu et al., 2006) and 0.282015±0.000019 (2σ) (Elhlou et al., 2006) for the two standards. The detailed analytical technique is described by </w:t>
      </w:r>
      <w:r w:rsidRPr="000B061D">
        <w:rPr>
          <w:color w:val="0000FF"/>
          <w:sz w:val="20"/>
        </w:rPr>
        <w:t>Yuan et al. (2008)</w:t>
      </w:r>
      <w:r w:rsidRPr="000B061D">
        <w:rPr>
          <w:sz w:val="20"/>
        </w:rPr>
        <w:t xml:space="preserve">. A decay constant for </w:t>
      </w:r>
      <w:r w:rsidRPr="000B061D">
        <w:rPr>
          <w:sz w:val="20"/>
          <w:vertAlign w:val="superscript"/>
        </w:rPr>
        <w:t>176</w:t>
      </w:r>
      <w:r w:rsidRPr="000B061D">
        <w:rPr>
          <w:sz w:val="20"/>
        </w:rPr>
        <w:t>Lu of 1.86</w:t>
      </w:r>
      <w:r w:rsidRPr="000B061D">
        <w:rPr>
          <w:sz w:val="20"/>
          <w:lang w:eastAsia="zh-CN"/>
        </w:rPr>
        <w:t>5</w:t>
      </w:r>
      <w:r w:rsidRPr="000B061D">
        <w:rPr>
          <w:sz w:val="20"/>
        </w:rPr>
        <w:t>×10</w:t>
      </w:r>
      <w:r w:rsidRPr="000B061D">
        <w:rPr>
          <w:rFonts w:eastAsia="SymbolMT"/>
          <w:sz w:val="20"/>
          <w:vertAlign w:val="superscript"/>
        </w:rPr>
        <w:t>−</w:t>
      </w:r>
      <w:r w:rsidRPr="000B061D">
        <w:rPr>
          <w:sz w:val="20"/>
          <w:vertAlign w:val="superscript"/>
        </w:rPr>
        <w:t>11</w:t>
      </w:r>
      <w:r w:rsidRPr="000B061D">
        <w:rPr>
          <w:sz w:val="20"/>
        </w:rPr>
        <w:t xml:space="preserve"> a </w:t>
      </w:r>
      <w:r w:rsidRPr="000B061D">
        <w:rPr>
          <w:rFonts w:eastAsia="FangSong_GB2312"/>
          <w:sz w:val="20"/>
        </w:rPr>
        <w:t>(</w:t>
      </w:r>
      <w:r w:rsidRPr="000B061D">
        <w:rPr>
          <w:color w:val="0000FF"/>
          <w:sz w:val="20"/>
          <w:lang w:eastAsia="zh-CN"/>
        </w:rPr>
        <w:t>Scherer et al, 2001</w:t>
      </w:r>
      <w:r w:rsidRPr="000B061D">
        <w:rPr>
          <w:rFonts w:eastAsia="FangSong_GB2312"/>
          <w:sz w:val="20"/>
        </w:rPr>
        <w:t>)</w:t>
      </w:r>
      <w:r w:rsidRPr="000B061D">
        <w:rPr>
          <w:sz w:val="20"/>
        </w:rPr>
        <w:t xml:space="preserve">, the present-day chondritic ratios of </w:t>
      </w:r>
      <w:r w:rsidRPr="000B061D">
        <w:rPr>
          <w:sz w:val="20"/>
          <w:vertAlign w:val="superscript"/>
        </w:rPr>
        <w:t>176</w:t>
      </w:r>
      <w:r w:rsidRPr="000B061D">
        <w:rPr>
          <w:sz w:val="20"/>
        </w:rPr>
        <w:t>Hf/</w:t>
      </w:r>
      <w:r w:rsidRPr="000B061D">
        <w:rPr>
          <w:sz w:val="20"/>
          <w:vertAlign w:val="superscript"/>
        </w:rPr>
        <w:t>177</w:t>
      </w:r>
      <w:r w:rsidRPr="000B061D">
        <w:rPr>
          <w:sz w:val="20"/>
        </w:rPr>
        <w:t>Hf = 0.282772 and</w:t>
      </w:r>
      <w:r w:rsidRPr="000B061D">
        <w:rPr>
          <w:sz w:val="20"/>
          <w:vertAlign w:val="superscript"/>
        </w:rPr>
        <w:t>176</w:t>
      </w:r>
      <w:r w:rsidRPr="000B061D">
        <w:rPr>
          <w:sz w:val="20"/>
        </w:rPr>
        <w:t>Lu /</w:t>
      </w:r>
      <w:r w:rsidRPr="000B061D">
        <w:rPr>
          <w:sz w:val="20"/>
          <w:vertAlign w:val="superscript"/>
        </w:rPr>
        <w:t>177</w:t>
      </w:r>
      <w:r w:rsidRPr="000B061D">
        <w:rPr>
          <w:sz w:val="20"/>
        </w:rPr>
        <w:t>Hf = 0.0332</w:t>
      </w:r>
      <w:r w:rsidRPr="000B061D">
        <w:rPr>
          <w:rFonts w:eastAsia="FangSong_GB2312"/>
          <w:sz w:val="20"/>
        </w:rPr>
        <w:t xml:space="preserve"> (</w:t>
      </w:r>
      <w:r w:rsidRPr="000B061D">
        <w:rPr>
          <w:rFonts w:eastAsia="STKaiti"/>
          <w:color w:val="0000FF"/>
          <w:sz w:val="20"/>
        </w:rPr>
        <w:t>Blichert-Toft and Albarede F, 1997</w:t>
      </w:r>
      <w:r w:rsidRPr="000B061D">
        <w:rPr>
          <w:rFonts w:eastAsia="FangSong_GB2312"/>
          <w:sz w:val="20"/>
        </w:rPr>
        <w:t>)</w:t>
      </w:r>
      <w:r w:rsidRPr="000B061D">
        <w:rPr>
          <w:sz w:val="20"/>
        </w:rPr>
        <w:t xml:space="preserve"> were adopted to calculate </w:t>
      </w:r>
      <w:r w:rsidRPr="000B061D">
        <w:rPr>
          <w:i/>
          <w:iCs/>
          <w:sz w:val="20"/>
        </w:rPr>
        <w:t>ε</w:t>
      </w:r>
      <w:r w:rsidRPr="000B061D">
        <w:rPr>
          <w:sz w:val="20"/>
        </w:rPr>
        <w:t>Hf(</w:t>
      </w:r>
      <w:r w:rsidRPr="000B061D">
        <w:rPr>
          <w:i/>
          <w:iCs/>
          <w:sz w:val="20"/>
        </w:rPr>
        <w:t>t</w:t>
      </w:r>
      <w:r w:rsidRPr="000B061D">
        <w:rPr>
          <w:sz w:val="20"/>
        </w:rPr>
        <w:t>) values. The notations of εHf(t), T</w:t>
      </w:r>
      <w:r w:rsidRPr="000B061D">
        <w:rPr>
          <w:sz w:val="20"/>
          <w:vertAlign w:val="subscript"/>
        </w:rPr>
        <w:t>DM1</w:t>
      </w:r>
      <w:r w:rsidRPr="000B061D">
        <w:rPr>
          <w:sz w:val="20"/>
        </w:rPr>
        <w:t xml:space="preserve"> and T</w:t>
      </w:r>
      <w:r w:rsidRPr="000B061D">
        <w:rPr>
          <w:sz w:val="20"/>
          <w:vertAlign w:val="subscript"/>
        </w:rPr>
        <w:t>DM2</w:t>
      </w:r>
      <w:r w:rsidRPr="000B061D">
        <w:rPr>
          <w:sz w:val="20"/>
        </w:rPr>
        <w:t xml:space="preserve"> are defined as same as those in </w:t>
      </w:r>
      <w:r w:rsidRPr="000B061D">
        <w:rPr>
          <w:color w:val="0000FF"/>
          <w:sz w:val="20"/>
        </w:rPr>
        <w:t>Yang et al. (2007)</w:t>
      </w:r>
      <w:r w:rsidRPr="000B061D">
        <w:rPr>
          <w:sz w:val="20"/>
        </w:rPr>
        <w:t>, with interpretations of single-stage depleted mantle model ages</w:t>
      </w:r>
      <w:bookmarkStart w:id="24" w:name="OLE_LINK224"/>
      <w:r w:rsidRPr="000B061D">
        <w:rPr>
          <w:sz w:val="20"/>
        </w:rPr>
        <w:t xml:space="preserve"> (T</w:t>
      </w:r>
      <w:r w:rsidRPr="000B061D">
        <w:rPr>
          <w:sz w:val="20"/>
          <w:vertAlign w:val="subscript"/>
        </w:rPr>
        <w:t>DM1</w:t>
      </w:r>
      <w:r w:rsidRPr="000B061D">
        <w:rPr>
          <w:sz w:val="20"/>
        </w:rPr>
        <w:t>)</w:t>
      </w:r>
      <w:bookmarkEnd w:id="24"/>
      <w:r w:rsidRPr="000B061D">
        <w:rPr>
          <w:sz w:val="20"/>
        </w:rPr>
        <w:t xml:space="preserve"> for positive εHf(t) values whereas two-stage crustal model ages (</w:t>
      </w:r>
      <w:bookmarkStart w:id="25" w:name="_Hlk4960623"/>
      <w:r w:rsidRPr="000B061D">
        <w:rPr>
          <w:sz w:val="20"/>
        </w:rPr>
        <w:t>T</w:t>
      </w:r>
      <w:r w:rsidRPr="000B061D">
        <w:rPr>
          <w:sz w:val="20"/>
          <w:vertAlign w:val="subscript"/>
        </w:rPr>
        <w:t>DM2</w:t>
      </w:r>
      <w:bookmarkEnd w:id="25"/>
      <w:r w:rsidRPr="000B061D">
        <w:rPr>
          <w:sz w:val="20"/>
        </w:rPr>
        <w:t>) were used for negative εHf(t) values. T</w:t>
      </w:r>
      <w:r w:rsidRPr="000B061D">
        <w:rPr>
          <w:sz w:val="20"/>
          <w:vertAlign w:val="subscript"/>
        </w:rPr>
        <w:t>DM1</w:t>
      </w:r>
      <w:r w:rsidRPr="000B061D">
        <w:rPr>
          <w:sz w:val="20"/>
        </w:rPr>
        <w:t xml:space="preserve"> was calculated using the measured Lu/Hf ratios and the present-day </w:t>
      </w:r>
      <w:r w:rsidRPr="000B061D">
        <w:rPr>
          <w:sz w:val="20"/>
          <w:vertAlign w:val="superscript"/>
        </w:rPr>
        <w:t>176</w:t>
      </w:r>
      <w:r w:rsidRPr="000B061D">
        <w:rPr>
          <w:sz w:val="20"/>
        </w:rPr>
        <w:t>Hf/</w:t>
      </w:r>
      <w:r w:rsidRPr="000B061D">
        <w:rPr>
          <w:sz w:val="20"/>
          <w:vertAlign w:val="superscript"/>
        </w:rPr>
        <w:t>177</w:t>
      </w:r>
      <w:r w:rsidRPr="000B061D">
        <w:rPr>
          <w:sz w:val="20"/>
        </w:rPr>
        <w:t xml:space="preserve">Hf ratio of 0.28325 and </w:t>
      </w:r>
      <w:r w:rsidRPr="000B061D">
        <w:rPr>
          <w:sz w:val="20"/>
          <w:vertAlign w:val="superscript"/>
        </w:rPr>
        <w:t>176</w:t>
      </w:r>
      <w:r w:rsidRPr="000B061D">
        <w:rPr>
          <w:sz w:val="20"/>
        </w:rPr>
        <w:t>Lu/</w:t>
      </w:r>
      <w:r w:rsidRPr="000B061D">
        <w:rPr>
          <w:sz w:val="20"/>
          <w:vertAlign w:val="superscript"/>
        </w:rPr>
        <w:t>177</w:t>
      </w:r>
      <w:r w:rsidRPr="000B061D">
        <w:rPr>
          <w:sz w:val="20"/>
        </w:rPr>
        <w:t>Hf of 0.0384 (</w:t>
      </w:r>
      <w:r w:rsidRPr="000B061D">
        <w:rPr>
          <w:color w:val="0000FF"/>
          <w:sz w:val="20"/>
        </w:rPr>
        <w:t>Griffin et al. 2000</w:t>
      </w:r>
      <w:r w:rsidRPr="000B061D">
        <w:rPr>
          <w:sz w:val="20"/>
        </w:rPr>
        <w:t>) of depleted mantle. T</w:t>
      </w:r>
      <w:r w:rsidRPr="000B061D">
        <w:rPr>
          <w:sz w:val="20"/>
          <w:vertAlign w:val="subscript"/>
        </w:rPr>
        <w:t>DM2</w:t>
      </w:r>
      <w:r w:rsidRPr="000B061D">
        <w:rPr>
          <w:sz w:val="20"/>
        </w:rPr>
        <w:t xml:space="preserve"> was obtained under the assumption that the protolith of the host rock of a given zircon was derived from the depleted mantle and had the composition of the average continental crust with </w:t>
      </w:r>
      <w:r w:rsidRPr="000B061D">
        <w:rPr>
          <w:sz w:val="20"/>
          <w:vertAlign w:val="superscript"/>
        </w:rPr>
        <w:t>176</w:t>
      </w:r>
      <w:r w:rsidRPr="000B061D">
        <w:rPr>
          <w:sz w:val="20"/>
        </w:rPr>
        <w:t>Lu/</w:t>
      </w:r>
      <w:r w:rsidRPr="000B061D">
        <w:rPr>
          <w:sz w:val="20"/>
          <w:vertAlign w:val="superscript"/>
        </w:rPr>
        <w:t>177</w:t>
      </w:r>
      <w:r w:rsidRPr="000B061D">
        <w:rPr>
          <w:sz w:val="20"/>
        </w:rPr>
        <w:t>Hf of 0.015 (</w:t>
      </w:r>
      <w:r w:rsidRPr="000B061D">
        <w:rPr>
          <w:color w:val="0000FF"/>
          <w:sz w:val="20"/>
        </w:rPr>
        <w:t>Griffin et al. 2002</w:t>
      </w:r>
      <w:r w:rsidRPr="000B061D">
        <w:rPr>
          <w:sz w:val="20"/>
        </w:rPr>
        <w:t>).</w:t>
      </w:r>
      <w:r w:rsidRPr="000B061D">
        <w:rPr>
          <w:color w:val="000000"/>
          <w:sz w:val="20"/>
        </w:rPr>
        <w:t xml:space="preserve"> The zircon U–Pb and Lu–Hf isotopic data are presented in </w:t>
      </w:r>
      <w:r w:rsidRPr="000B061D">
        <w:rPr>
          <w:color w:val="0000FF"/>
          <w:sz w:val="20"/>
        </w:rPr>
        <w:t xml:space="preserve">Tables </w:t>
      </w:r>
      <w:r w:rsidR="00B33924">
        <w:rPr>
          <w:rFonts w:eastAsia="DengXian"/>
          <w:color w:val="0000FF"/>
          <w:sz w:val="20"/>
          <w:lang w:eastAsia="zh-CN"/>
        </w:rPr>
        <w:t>S</w:t>
      </w:r>
      <w:r w:rsidRPr="000B061D">
        <w:rPr>
          <w:rFonts w:eastAsia="DengXian"/>
          <w:color w:val="0000FF"/>
          <w:sz w:val="20"/>
          <w:lang w:eastAsia="zh-CN"/>
        </w:rPr>
        <w:t>1</w:t>
      </w:r>
      <w:r w:rsidRPr="000B061D">
        <w:rPr>
          <w:color w:val="0000FF"/>
          <w:sz w:val="20"/>
        </w:rPr>
        <w:t xml:space="preserve"> and </w:t>
      </w:r>
      <w:r w:rsidR="00B33924">
        <w:rPr>
          <w:rFonts w:eastAsia="DengXian"/>
          <w:color w:val="0000FF"/>
          <w:sz w:val="20"/>
          <w:lang w:eastAsia="zh-CN"/>
        </w:rPr>
        <w:t>S</w:t>
      </w:r>
      <w:r w:rsidRPr="000B061D">
        <w:rPr>
          <w:rFonts w:eastAsia="DengXian"/>
          <w:color w:val="0000FF"/>
          <w:sz w:val="20"/>
          <w:lang w:eastAsia="zh-CN"/>
        </w:rPr>
        <w:t>2</w:t>
      </w:r>
      <w:r w:rsidRPr="000B061D">
        <w:rPr>
          <w:color w:val="000000"/>
          <w:sz w:val="20"/>
        </w:rPr>
        <w:t>.</w:t>
      </w:r>
    </w:p>
    <w:p w14:paraId="759A1454" w14:textId="4568730B" w:rsidR="000B061D" w:rsidRPr="000B061D" w:rsidRDefault="000B061D" w:rsidP="000B061D">
      <w:pPr>
        <w:pStyle w:val="SMText"/>
        <w:ind w:firstLineChars="200" w:firstLine="400"/>
        <w:jc w:val="both"/>
        <w:rPr>
          <w:color w:val="0000FF"/>
          <w:sz w:val="20"/>
        </w:rPr>
      </w:pPr>
      <w:r w:rsidRPr="000B061D">
        <w:rPr>
          <w:sz w:val="20"/>
        </w:rPr>
        <w:t>Samples of the Buya pluton were analyzed at the State Key Laboratory of Continental Dynamics in Northwest University, Xi'an. Fresh whole rock chips were powdered to 200 mesh-size using a tungsten carbide ball mill. Major and trace elements were analyzed by XRF (Rikagu RIX 2100) and ICPMS (Agilent 7500a), respectively. Analyses of USGS and Chinese national rock standards (BCR-2, GSR-1 and GSR-3) indicate that analytical precision and accuracy for major elements are generally better than 5%. For trace element analysis, sample powders were digested using an HF+HNO</w:t>
      </w:r>
      <w:r w:rsidRPr="000B061D">
        <w:rPr>
          <w:sz w:val="20"/>
          <w:vertAlign w:val="subscript"/>
        </w:rPr>
        <w:t>3</w:t>
      </w:r>
      <w:r w:rsidRPr="000B061D">
        <w:rPr>
          <w:sz w:val="20"/>
        </w:rPr>
        <w:t xml:space="preserve"> mixture in high-pressure Teflon bombs at 190 °C for 48 h. Analytical precision is better than 10% for most trace elements. The geochemical data are showed in </w:t>
      </w:r>
      <w:r w:rsidRPr="000B061D">
        <w:rPr>
          <w:color w:val="0000FF"/>
          <w:sz w:val="20"/>
        </w:rPr>
        <w:t xml:space="preserve">Table </w:t>
      </w:r>
      <w:r w:rsidR="00B33924">
        <w:rPr>
          <w:color w:val="0000FF"/>
          <w:sz w:val="20"/>
        </w:rPr>
        <w:t>1</w:t>
      </w:r>
      <w:r w:rsidRPr="000B061D">
        <w:rPr>
          <w:color w:val="0000FF"/>
          <w:sz w:val="20"/>
        </w:rPr>
        <w:t>.</w:t>
      </w:r>
    </w:p>
    <w:p w14:paraId="14F32EDB" w14:textId="50593A0F" w:rsidR="008C3CF9" w:rsidRPr="000B061D" w:rsidRDefault="008C3CF9" w:rsidP="001967D4">
      <w:pPr>
        <w:pStyle w:val="SMText"/>
        <w:spacing w:line="276" w:lineRule="auto"/>
        <w:ind w:firstLineChars="200" w:firstLine="400"/>
        <w:jc w:val="both"/>
        <w:rPr>
          <w:rFonts w:ascii="Arial" w:hAnsi="Arial" w:cs="Arial"/>
          <w:color w:val="000000"/>
          <w:sz w:val="20"/>
        </w:rPr>
      </w:pPr>
    </w:p>
    <w:p w14:paraId="61C5F61C" w14:textId="76F511E5" w:rsidR="007B5D06" w:rsidRPr="000B061D" w:rsidRDefault="008C3CF9" w:rsidP="008C3CF9">
      <w:pPr>
        <w:outlineLvl w:val="0"/>
        <w:rPr>
          <w:rFonts w:ascii="Arial" w:hAnsi="Arial" w:cs="Arial"/>
          <w:color w:val="000000"/>
          <w:sz w:val="20"/>
        </w:rPr>
      </w:pPr>
      <w:r w:rsidRPr="000B061D">
        <w:rPr>
          <w:rFonts w:ascii="Arial" w:hAnsi="Arial" w:cs="Arial"/>
          <w:b/>
          <w:sz w:val="20"/>
        </w:rPr>
        <w:t>References</w:t>
      </w:r>
    </w:p>
    <w:p w14:paraId="11893BA0" w14:textId="77777777" w:rsidR="001471C6" w:rsidRPr="00D61138" w:rsidRDefault="001471C6" w:rsidP="001471C6">
      <w:pPr>
        <w:autoSpaceDE w:val="0"/>
        <w:autoSpaceDN w:val="0"/>
        <w:adjustRightInd w:val="0"/>
        <w:ind w:left="200" w:hangingChars="100" w:hanging="200"/>
        <w:jc w:val="both"/>
        <w:rPr>
          <w:sz w:val="20"/>
        </w:rPr>
      </w:pPr>
      <w:r w:rsidRPr="00D61138">
        <w:rPr>
          <w:sz w:val="20"/>
        </w:rPr>
        <w:t xml:space="preserve">Blichert-Toft J, Albarède F (1997) The Lu–Hf isotope geochemistry of chondrites and the evolution of the mantle-crust system. </w:t>
      </w:r>
      <w:r w:rsidRPr="00692743">
        <w:rPr>
          <w:sz w:val="20"/>
        </w:rPr>
        <w:t>Earth and Planetary Science Letters</w:t>
      </w:r>
      <w:r w:rsidRPr="00D61138">
        <w:rPr>
          <w:sz w:val="20"/>
        </w:rPr>
        <w:t xml:space="preserve"> 148</w:t>
      </w:r>
      <w:r>
        <w:rPr>
          <w:sz w:val="20"/>
        </w:rPr>
        <w:t>:</w:t>
      </w:r>
      <w:r w:rsidRPr="00D61138">
        <w:rPr>
          <w:sz w:val="20"/>
        </w:rPr>
        <w:t xml:space="preserve"> 243–258</w:t>
      </w:r>
    </w:p>
    <w:p w14:paraId="7D50159C" w14:textId="77777777" w:rsidR="001471C6" w:rsidRPr="00D61138" w:rsidRDefault="001471C6" w:rsidP="001471C6">
      <w:pPr>
        <w:autoSpaceDE w:val="0"/>
        <w:autoSpaceDN w:val="0"/>
        <w:adjustRightInd w:val="0"/>
        <w:ind w:left="200" w:hangingChars="100" w:hanging="200"/>
        <w:jc w:val="both"/>
        <w:rPr>
          <w:sz w:val="20"/>
        </w:rPr>
      </w:pPr>
      <w:r w:rsidRPr="00D61138">
        <w:rPr>
          <w:sz w:val="20"/>
        </w:rPr>
        <w:t xml:space="preserve">Chu NC, Taylor RN, Chavagnac V, Nesbitt RW, Boella RM, Milton JA, German CR, Bayon G, Burton K (2002) Hf isotope ratio analysis using multi-collector inductively coupled plasma mass spectrometry: an evaluation of isobaric interference corrections. </w:t>
      </w:r>
      <w:r w:rsidRPr="00692743">
        <w:rPr>
          <w:sz w:val="20"/>
        </w:rPr>
        <w:t>Journal of Analytical Atomic Spectrometry</w:t>
      </w:r>
      <w:r w:rsidRPr="00D61138">
        <w:rPr>
          <w:sz w:val="20"/>
        </w:rPr>
        <w:t xml:space="preserve"> 17</w:t>
      </w:r>
      <w:r>
        <w:rPr>
          <w:sz w:val="20"/>
        </w:rPr>
        <w:t>:</w:t>
      </w:r>
      <w:r w:rsidRPr="00D61138">
        <w:rPr>
          <w:sz w:val="20"/>
        </w:rPr>
        <w:t xml:space="preserve"> 1567–1574</w:t>
      </w:r>
    </w:p>
    <w:p w14:paraId="68C49037" w14:textId="77777777" w:rsidR="001471C6" w:rsidRPr="00CA767A" w:rsidRDefault="001471C6" w:rsidP="001471C6">
      <w:pPr>
        <w:autoSpaceDE w:val="0"/>
        <w:autoSpaceDN w:val="0"/>
        <w:adjustRightInd w:val="0"/>
        <w:ind w:left="200" w:hangingChars="100" w:hanging="200"/>
        <w:jc w:val="both"/>
        <w:rPr>
          <w:color w:val="211D1E"/>
          <w:sz w:val="20"/>
        </w:rPr>
      </w:pPr>
      <w:r w:rsidRPr="00CA767A">
        <w:rPr>
          <w:color w:val="211D1E"/>
          <w:sz w:val="20"/>
        </w:rPr>
        <w:t>De Biévre P, Taylor PDP (1993) Table of the isotopic compositions of the elements. International Journal of Mass Spectrometry and Ion Processes 123</w:t>
      </w:r>
      <w:r>
        <w:rPr>
          <w:color w:val="211D1E"/>
          <w:sz w:val="20"/>
        </w:rPr>
        <w:t>:</w:t>
      </w:r>
      <w:r w:rsidRPr="00CA767A">
        <w:rPr>
          <w:color w:val="211D1E"/>
          <w:sz w:val="20"/>
        </w:rPr>
        <w:t xml:space="preserve"> 149–166.</w:t>
      </w:r>
    </w:p>
    <w:p w14:paraId="7947EE96" w14:textId="77777777" w:rsidR="00AD7D8A" w:rsidRPr="000B061D" w:rsidRDefault="00AD7D8A" w:rsidP="001471C6">
      <w:pPr>
        <w:pStyle w:val="References"/>
        <w:jc w:val="both"/>
        <w:rPr>
          <w:sz w:val="20"/>
          <w:szCs w:val="20"/>
        </w:rPr>
      </w:pPr>
      <w:r w:rsidRPr="000B061D">
        <w:rPr>
          <w:sz w:val="20"/>
          <w:szCs w:val="20"/>
        </w:rPr>
        <w:t xml:space="preserve">Elhlou S, Belousova E, Griffin W.L, </w:t>
      </w:r>
      <w:r w:rsidRPr="000B061D">
        <w:rPr>
          <w:rFonts w:hint="eastAsia"/>
          <w:sz w:val="20"/>
          <w:szCs w:val="20"/>
        </w:rPr>
        <w:t>Pearson, N. J.; O'Reilly, S. Y.</w:t>
      </w:r>
      <w:r w:rsidRPr="000B061D">
        <w:rPr>
          <w:sz w:val="20"/>
          <w:szCs w:val="20"/>
        </w:rPr>
        <w:t xml:space="preserve"> (2006). Trace Element and Isotopic Composition of GJ Red Zircon Standard by Laser Ablation. Geochim Cosmochim Acta, 70 (Suppl. 1), A158, 2006, 06.1383.</w:t>
      </w:r>
    </w:p>
    <w:p w14:paraId="3E910521" w14:textId="07E8BE91" w:rsidR="00AD7D8A" w:rsidRPr="000B061D" w:rsidRDefault="00AD7D8A" w:rsidP="001471C6">
      <w:pPr>
        <w:pStyle w:val="References"/>
        <w:jc w:val="both"/>
        <w:rPr>
          <w:sz w:val="20"/>
          <w:szCs w:val="20"/>
        </w:rPr>
      </w:pPr>
      <w:r w:rsidRPr="000B061D">
        <w:rPr>
          <w:sz w:val="20"/>
          <w:szCs w:val="20"/>
        </w:rPr>
        <w:t xml:space="preserve">Griffin, W.L., Pearson, N.J., Belousova, E., Jackson, S.E., van Achterbergh, E., O'Reilly, S.Y., Shee, S.R., </w:t>
      </w:r>
      <w:r w:rsidR="007E79B5">
        <w:rPr>
          <w:sz w:val="20"/>
          <w:szCs w:val="20"/>
        </w:rPr>
        <w:t>(</w:t>
      </w:r>
      <w:r w:rsidRPr="000B061D">
        <w:rPr>
          <w:sz w:val="20"/>
          <w:szCs w:val="20"/>
        </w:rPr>
        <w:t>2000</w:t>
      </w:r>
      <w:r w:rsidR="007E79B5">
        <w:rPr>
          <w:sz w:val="20"/>
          <w:szCs w:val="20"/>
        </w:rPr>
        <w:t>)</w:t>
      </w:r>
      <w:r w:rsidRPr="000B061D">
        <w:rPr>
          <w:sz w:val="20"/>
          <w:szCs w:val="20"/>
        </w:rPr>
        <w:t xml:space="preserve"> The Hf isotope composition of cratonic mantle: LAM–MC–ICPMS analysis of zircon megacrysts in kimberlites. Geochimica et Cosmochimica Acta 64, 133–147.</w:t>
      </w:r>
    </w:p>
    <w:p w14:paraId="618DB08E" w14:textId="5C7E8692" w:rsidR="00C430F3" w:rsidRPr="000B061D" w:rsidRDefault="00AD7D8A" w:rsidP="001471C6">
      <w:pPr>
        <w:pStyle w:val="References"/>
        <w:jc w:val="both"/>
        <w:rPr>
          <w:sz w:val="20"/>
          <w:szCs w:val="20"/>
        </w:rPr>
      </w:pPr>
      <w:r w:rsidRPr="000B061D">
        <w:rPr>
          <w:sz w:val="20"/>
          <w:szCs w:val="20"/>
        </w:rPr>
        <w:t>Griffin, W.L., Wang, X., Jackson, S.E., Pearson, N.J., O'Reilly, S.Y., Xu, X., Zhou, X., 2002. Zircon chemistry and magma genesis, SE China: in-situ analysis ofHfisotopes, Pingtan and Tonglu igneous complexes. Lithos 61, 237–269.</w:t>
      </w:r>
      <w:r w:rsidR="00C430F3" w:rsidRPr="000B061D">
        <w:rPr>
          <w:sz w:val="20"/>
          <w:szCs w:val="20"/>
        </w:rPr>
        <w:t>Scherer, E., Münker, C., Mezger, K. (2001). Calibration of the lutetium-hafnium clock. Science 293, 683–687.</w:t>
      </w:r>
    </w:p>
    <w:p w14:paraId="7F0DE7CA" w14:textId="77777777" w:rsidR="00C8241B" w:rsidRPr="00264EC9" w:rsidRDefault="00C8241B" w:rsidP="001471C6">
      <w:pPr>
        <w:pStyle w:val="References"/>
        <w:jc w:val="both"/>
        <w:rPr>
          <w:sz w:val="20"/>
          <w:szCs w:val="20"/>
        </w:rPr>
      </w:pPr>
      <w:r w:rsidRPr="00264EC9">
        <w:rPr>
          <w:sz w:val="20"/>
          <w:szCs w:val="20"/>
        </w:rPr>
        <w:t>Ludwig KR (2003) Isoplot 30-A geochronological toolkit for Micro-soft Excel. Berkeley Geochronology Center Spec Pub 1–70</w:t>
      </w:r>
    </w:p>
    <w:p w14:paraId="309B8330" w14:textId="4812168F" w:rsidR="00AD7D8A" w:rsidRDefault="00AD7D8A" w:rsidP="001471C6">
      <w:pPr>
        <w:pStyle w:val="References"/>
        <w:jc w:val="both"/>
        <w:rPr>
          <w:sz w:val="20"/>
          <w:szCs w:val="20"/>
        </w:rPr>
      </w:pPr>
      <w:r w:rsidRPr="000B061D">
        <w:rPr>
          <w:sz w:val="20"/>
          <w:szCs w:val="20"/>
        </w:rPr>
        <w:lastRenderedPageBreak/>
        <w:t>Simon EJ, Norman JP, William LG, Belousova W (2004) The application of laser ablation-inductively coupled plasma-mass spectrometry to in-situ U-Pb zircon geochronology. Chem Geol, 211:47</w:t>
      </w:r>
      <w:r w:rsidRPr="000B061D">
        <w:rPr>
          <w:rFonts w:hint="eastAsia"/>
          <w:sz w:val="20"/>
          <w:szCs w:val="20"/>
        </w:rPr>
        <w:t>-</w:t>
      </w:r>
      <w:r w:rsidRPr="000B061D">
        <w:rPr>
          <w:sz w:val="20"/>
          <w:szCs w:val="20"/>
        </w:rPr>
        <w:t>69.</w:t>
      </w:r>
    </w:p>
    <w:p w14:paraId="6A51C8C1" w14:textId="77777777" w:rsidR="001471C6" w:rsidRPr="00264EC9" w:rsidRDefault="001471C6" w:rsidP="001471C6">
      <w:pPr>
        <w:autoSpaceDE w:val="0"/>
        <w:autoSpaceDN w:val="0"/>
        <w:adjustRightInd w:val="0"/>
        <w:ind w:left="200" w:hangingChars="100" w:hanging="200"/>
        <w:jc w:val="both"/>
        <w:rPr>
          <w:sz w:val="20"/>
        </w:rPr>
      </w:pPr>
      <w:r w:rsidRPr="00264EC9">
        <w:rPr>
          <w:sz w:val="20"/>
        </w:rPr>
        <w:t>Scherer E, Münker C, Mezger K (2001) Calibration of the lutetium-hafnium clock. Science 293:683–687</w:t>
      </w:r>
    </w:p>
    <w:p w14:paraId="5C8AA1CA" w14:textId="77777777" w:rsidR="001471C6" w:rsidRPr="00264EC9" w:rsidRDefault="001471C6" w:rsidP="001471C6">
      <w:pPr>
        <w:pStyle w:val="References"/>
        <w:jc w:val="both"/>
        <w:rPr>
          <w:sz w:val="20"/>
          <w:szCs w:val="20"/>
        </w:rPr>
      </w:pPr>
      <w:r w:rsidRPr="001471C6">
        <w:rPr>
          <w:sz w:val="20"/>
          <w:szCs w:val="20"/>
        </w:rPr>
        <w:t>Yuan HL, Gao S, Dai MN, Zong CL</w:t>
      </w:r>
      <w:r w:rsidRPr="00264EC9">
        <w:rPr>
          <w:sz w:val="20"/>
          <w:szCs w:val="20"/>
        </w:rPr>
        <w:t>, Günther D, Fontaine GH, Liu XM, DiWu CR (2008) Simultaneous determinations of U–Pb age, Hf isotopes and trace element compositions of zircon by excimer laser ablation quadrupole and multiple collector ICP–MS. Chemistry Geol</w:t>
      </w:r>
      <w:r w:rsidRPr="00264EC9">
        <w:rPr>
          <w:rFonts w:hint="eastAsia"/>
          <w:sz w:val="20"/>
          <w:szCs w:val="20"/>
        </w:rPr>
        <w:t>ogy</w:t>
      </w:r>
      <w:r w:rsidRPr="00264EC9">
        <w:rPr>
          <w:sz w:val="20"/>
          <w:szCs w:val="20"/>
        </w:rPr>
        <w:t xml:space="preserve"> 247:100–118</w:t>
      </w:r>
    </w:p>
    <w:p w14:paraId="19B56B9C" w14:textId="77777777" w:rsidR="001471C6" w:rsidRPr="00264EC9" w:rsidRDefault="001471C6" w:rsidP="001471C6">
      <w:pPr>
        <w:autoSpaceDE w:val="0"/>
        <w:autoSpaceDN w:val="0"/>
        <w:adjustRightInd w:val="0"/>
        <w:ind w:left="200" w:hangingChars="100" w:hanging="200"/>
        <w:jc w:val="both"/>
        <w:rPr>
          <w:sz w:val="20"/>
        </w:rPr>
      </w:pPr>
      <w:r w:rsidRPr="00264EC9">
        <w:rPr>
          <w:sz w:val="20"/>
        </w:rPr>
        <w:t>Yang JH, Wu FY, Wilde SA, Xie LW, Yang YH, Liu XM (2007) Tracing magma mixing in granite genesis: in situ U–Pb dating and Hf-isotope analysis of zircons. Contributions to Mineralogy and Petrology 153:177–190</w:t>
      </w:r>
    </w:p>
    <w:p w14:paraId="2502D3A6" w14:textId="22DFF339" w:rsidR="00AD7D8A" w:rsidRPr="000B061D" w:rsidRDefault="00AD7D8A" w:rsidP="001471C6">
      <w:pPr>
        <w:pStyle w:val="References"/>
        <w:jc w:val="both"/>
        <w:rPr>
          <w:sz w:val="20"/>
          <w:szCs w:val="20"/>
        </w:rPr>
      </w:pPr>
      <w:r w:rsidRPr="000B061D">
        <w:rPr>
          <w:sz w:val="20"/>
          <w:szCs w:val="20"/>
        </w:rPr>
        <w:t>Wiedenbeck M, Alle P, Griffin WL, Meier M, Oberli F, von Quadt, A.,Roddick, JC, Spiegel W (1995) Three natural zircon standards for U-Th-Pb, Lu-Hf, trace element and REE analyses. Geostand Newsl, 19: 1</w:t>
      </w:r>
      <w:r w:rsidRPr="000B061D">
        <w:rPr>
          <w:rFonts w:hint="eastAsia"/>
          <w:sz w:val="20"/>
          <w:szCs w:val="20"/>
        </w:rPr>
        <w:t>-</w:t>
      </w:r>
      <w:r w:rsidRPr="000B061D">
        <w:rPr>
          <w:sz w:val="20"/>
          <w:szCs w:val="20"/>
        </w:rPr>
        <w:t>23</w:t>
      </w:r>
    </w:p>
    <w:p w14:paraId="6BB3B3B0" w14:textId="077B5E5E" w:rsidR="00BE60D3" w:rsidRPr="00BE60D3" w:rsidRDefault="00BE60D3" w:rsidP="00BE60D3">
      <w:pPr>
        <w:pStyle w:val="References"/>
        <w:jc w:val="both"/>
        <w:rPr>
          <w:sz w:val="20"/>
          <w:szCs w:val="20"/>
        </w:rPr>
      </w:pPr>
      <w:r w:rsidRPr="00BE60D3">
        <w:rPr>
          <w:sz w:val="20"/>
          <w:szCs w:val="20"/>
        </w:rPr>
        <w:t>Griffin WL, Pearson NJ, Belousova E, Jackson SE, O’Reilly SY, van Acherberg E</w:t>
      </w:r>
      <w:r>
        <w:rPr>
          <w:sz w:val="20"/>
          <w:szCs w:val="20"/>
        </w:rPr>
        <w:t>,</w:t>
      </w:r>
      <w:r w:rsidRPr="00BE60D3">
        <w:rPr>
          <w:sz w:val="20"/>
          <w:szCs w:val="20"/>
        </w:rPr>
        <w:t xml:space="preserve">  Shee SR (2000) The Hf iso- tope composition of cratonic mantle: LAM-MC-ICPMS analysis of zircon megacrysts in kimberlites. Geochimica et Cosmochimica Acta 64</w:t>
      </w:r>
      <w:r>
        <w:rPr>
          <w:sz w:val="20"/>
          <w:szCs w:val="20"/>
        </w:rPr>
        <w:t>:</w:t>
      </w:r>
      <w:r w:rsidRPr="00BE60D3">
        <w:rPr>
          <w:sz w:val="20"/>
          <w:szCs w:val="20"/>
        </w:rPr>
        <w:t xml:space="preserve"> 133</w:t>
      </w:r>
      <w:r>
        <w:rPr>
          <w:sz w:val="20"/>
          <w:szCs w:val="20"/>
        </w:rPr>
        <w:t>-</w:t>
      </w:r>
      <w:r w:rsidRPr="00BE60D3">
        <w:rPr>
          <w:sz w:val="20"/>
          <w:szCs w:val="20"/>
        </w:rPr>
        <w:t>147</w:t>
      </w:r>
    </w:p>
    <w:p w14:paraId="2EC548FC" w14:textId="2AAB44CE" w:rsidR="00C430F3" w:rsidRPr="000B061D" w:rsidRDefault="00BE60D3" w:rsidP="00BE60D3">
      <w:pPr>
        <w:pStyle w:val="References"/>
        <w:jc w:val="both"/>
        <w:rPr>
          <w:sz w:val="20"/>
          <w:szCs w:val="20"/>
        </w:rPr>
      </w:pPr>
      <w:r w:rsidRPr="00BE60D3">
        <w:rPr>
          <w:sz w:val="20"/>
          <w:szCs w:val="20"/>
        </w:rPr>
        <w:t>Griffin</w:t>
      </w:r>
      <w:r>
        <w:rPr>
          <w:sz w:val="20"/>
          <w:szCs w:val="20"/>
        </w:rPr>
        <w:t xml:space="preserve"> </w:t>
      </w:r>
      <w:r w:rsidRPr="00BE60D3">
        <w:rPr>
          <w:sz w:val="20"/>
          <w:szCs w:val="20"/>
        </w:rPr>
        <w:t>WL,Wang X, Jackson SE, Pearson NJ, O’Reilly SY, Xu X</w:t>
      </w:r>
      <w:r>
        <w:rPr>
          <w:sz w:val="20"/>
          <w:szCs w:val="20"/>
        </w:rPr>
        <w:t>,</w:t>
      </w:r>
      <w:r w:rsidRPr="00BE60D3">
        <w:rPr>
          <w:sz w:val="20"/>
          <w:szCs w:val="20"/>
        </w:rPr>
        <w:t xml:space="preserve"> Zhou X (2002) Zircon chemistry and magma mixing, SE China: In situ analysis of Hf isotopes, Tonglu and Pingtan igneous complexes. Lithos 61</w:t>
      </w:r>
      <w:r>
        <w:rPr>
          <w:sz w:val="20"/>
          <w:szCs w:val="20"/>
        </w:rPr>
        <w:t>:</w:t>
      </w:r>
      <w:r w:rsidRPr="00BE60D3">
        <w:rPr>
          <w:sz w:val="20"/>
          <w:szCs w:val="20"/>
        </w:rPr>
        <w:t xml:space="preserve"> 237</w:t>
      </w:r>
      <w:r>
        <w:rPr>
          <w:sz w:val="20"/>
          <w:szCs w:val="20"/>
        </w:rPr>
        <w:t>-</w:t>
      </w:r>
      <w:r w:rsidRPr="00BE60D3">
        <w:rPr>
          <w:sz w:val="20"/>
          <w:szCs w:val="20"/>
        </w:rPr>
        <w:t>269</w:t>
      </w:r>
    </w:p>
    <w:p w14:paraId="1D8B2CDA" w14:textId="77777777" w:rsidR="00721777" w:rsidRPr="000B061D" w:rsidRDefault="00721777" w:rsidP="00E70023">
      <w:pPr>
        <w:pStyle w:val="SMcaption"/>
        <w:rPr>
          <w:rFonts w:ascii="Arial" w:hAnsi="Arial" w:cs="Arial"/>
          <w:sz w:val="20"/>
        </w:rPr>
      </w:pPr>
    </w:p>
    <w:p w14:paraId="39453F67" w14:textId="77777777" w:rsidR="00C718FA" w:rsidRPr="000B061D" w:rsidRDefault="00C718FA" w:rsidP="009A3FC3">
      <w:pPr>
        <w:pStyle w:val="SMHeading"/>
        <w:jc w:val="center"/>
        <w:rPr>
          <w:rFonts w:ascii="Arial" w:hAnsi="Arial" w:cs="Arial"/>
          <w:sz w:val="20"/>
          <w:szCs w:val="20"/>
        </w:rPr>
      </w:pPr>
      <w:r w:rsidRPr="000B061D">
        <w:rPr>
          <w:noProof/>
          <w:sz w:val="20"/>
          <w:szCs w:val="20"/>
        </w:rPr>
        <w:lastRenderedPageBreak/>
        <w:drawing>
          <wp:inline distT="0" distB="0" distL="0" distR="0" wp14:anchorId="2D0FE6E0" wp14:editId="594C3984">
            <wp:extent cx="4279258" cy="45016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4237" cy="4506899"/>
                    </a:xfrm>
                    <a:prstGeom prst="rect">
                      <a:avLst/>
                    </a:prstGeom>
                    <a:noFill/>
                    <a:ln>
                      <a:noFill/>
                    </a:ln>
                  </pic:spPr>
                </pic:pic>
              </a:graphicData>
            </a:graphic>
          </wp:inline>
        </w:drawing>
      </w:r>
    </w:p>
    <w:p w14:paraId="3D96F20B" w14:textId="7FFAA17F" w:rsidR="009A3FC3" w:rsidRPr="000B061D" w:rsidRDefault="009A3FC3" w:rsidP="00C718FA">
      <w:pPr>
        <w:pStyle w:val="SMHeading"/>
        <w:rPr>
          <w:sz w:val="20"/>
          <w:szCs w:val="20"/>
        </w:rPr>
      </w:pPr>
      <w:r w:rsidRPr="000B061D">
        <w:rPr>
          <w:rFonts w:ascii="Arial" w:hAnsi="Arial" w:cs="Arial"/>
          <w:sz w:val="20"/>
          <w:szCs w:val="20"/>
        </w:rPr>
        <w:t xml:space="preserve">Figure S1. </w:t>
      </w:r>
      <w:r w:rsidRPr="000B061D">
        <w:rPr>
          <w:rFonts w:ascii="Arial" w:hAnsi="Arial" w:cs="Arial"/>
          <w:b w:val="0"/>
          <w:sz w:val="20"/>
          <w:szCs w:val="20"/>
        </w:rPr>
        <w:t>Cathodoluminescence (CL) images of representative zircon crystals with locations of LA-ICP-MS analyses. The gray scale bar in each image represents 100 μm.</w:t>
      </w:r>
    </w:p>
    <w:p w14:paraId="212D257A" w14:textId="730269E4" w:rsidR="004B0E48" w:rsidRDefault="004B0E48">
      <w:pPr>
        <w:rPr>
          <w:sz w:val="20"/>
        </w:rPr>
      </w:pPr>
      <w:r>
        <w:rPr>
          <w:sz w:val="20"/>
        </w:rPr>
        <w:br w:type="page"/>
      </w:r>
    </w:p>
    <w:p w14:paraId="3EA55341" w14:textId="00A2043E" w:rsidR="009A3FC3" w:rsidRDefault="004B0E48" w:rsidP="005725DE">
      <w:pPr>
        <w:pStyle w:val="SMcaption"/>
        <w:jc w:val="center"/>
        <w:rPr>
          <w:sz w:val="20"/>
        </w:rPr>
      </w:pPr>
      <w:r>
        <w:rPr>
          <w:noProof/>
        </w:rPr>
        <w:lastRenderedPageBreak/>
        <w:drawing>
          <wp:inline distT="0" distB="0" distL="0" distR="0" wp14:anchorId="76E45841" wp14:editId="620AF193">
            <wp:extent cx="5486400" cy="170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703070"/>
                    </a:xfrm>
                    <a:prstGeom prst="rect">
                      <a:avLst/>
                    </a:prstGeom>
                    <a:noFill/>
                    <a:ln>
                      <a:noFill/>
                    </a:ln>
                  </pic:spPr>
                </pic:pic>
              </a:graphicData>
            </a:graphic>
          </wp:inline>
        </w:drawing>
      </w:r>
    </w:p>
    <w:p w14:paraId="3294014B" w14:textId="28DBB666" w:rsidR="004B0E48" w:rsidRPr="00D61138" w:rsidRDefault="004B0E48" w:rsidP="004B0E48">
      <w:pPr>
        <w:pStyle w:val="Head1"/>
        <w:jc w:val="both"/>
        <w:rPr>
          <w:b w:val="0"/>
          <w:bCs/>
          <w:sz w:val="20"/>
          <w:szCs w:val="20"/>
        </w:rPr>
      </w:pPr>
      <w:r w:rsidRPr="00D61138">
        <w:rPr>
          <w:b w:val="0"/>
          <w:bCs/>
          <w:sz w:val="20"/>
          <w:szCs w:val="20"/>
        </w:rPr>
        <w:t xml:space="preserve">Figure </w:t>
      </w:r>
      <w:r>
        <w:rPr>
          <w:b w:val="0"/>
          <w:bCs/>
          <w:sz w:val="20"/>
          <w:szCs w:val="20"/>
        </w:rPr>
        <w:t>S2</w:t>
      </w:r>
      <w:r w:rsidRPr="00D61138">
        <w:rPr>
          <w:b w:val="0"/>
          <w:bCs/>
          <w:sz w:val="20"/>
          <w:szCs w:val="20"/>
        </w:rPr>
        <w:t>. Zircon Lu–Hf isotopic compositions of PQS and ME, showing the εHf(t) (</w:t>
      </w:r>
      <w:r>
        <w:rPr>
          <w:b w:val="0"/>
          <w:bCs/>
          <w:sz w:val="20"/>
          <w:szCs w:val="20"/>
        </w:rPr>
        <w:t>a</w:t>
      </w:r>
      <w:r w:rsidRPr="00D61138">
        <w:rPr>
          <w:b w:val="0"/>
          <w:bCs/>
          <w:sz w:val="20"/>
          <w:szCs w:val="20"/>
        </w:rPr>
        <w:t xml:space="preserve">) and initial </w:t>
      </w:r>
      <w:r w:rsidRPr="00D61138">
        <w:rPr>
          <w:b w:val="0"/>
          <w:bCs/>
          <w:sz w:val="20"/>
          <w:szCs w:val="20"/>
          <w:vertAlign w:val="superscript"/>
        </w:rPr>
        <w:t>176</w:t>
      </w:r>
      <w:r w:rsidRPr="00D61138">
        <w:rPr>
          <w:b w:val="0"/>
          <w:bCs/>
          <w:sz w:val="20"/>
          <w:szCs w:val="20"/>
        </w:rPr>
        <w:t>Hf/</w:t>
      </w:r>
      <w:r w:rsidRPr="00D61138">
        <w:rPr>
          <w:b w:val="0"/>
          <w:bCs/>
          <w:sz w:val="20"/>
          <w:szCs w:val="20"/>
          <w:vertAlign w:val="superscript"/>
        </w:rPr>
        <w:t>177</w:t>
      </w:r>
      <w:r w:rsidRPr="00D61138">
        <w:rPr>
          <w:b w:val="0"/>
          <w:bCs/>
          <w:sz w:val="20"/>
          <w:szCs w:val="20"/>
        </w:rPr>
        <w:t>Hf (</w:t>
      </w:r>
      <w:r>
        <w:rPr>
          <w:b w:val="0"/>
          <w:bCs/>
          <w:sz w:val="20"/>
          <w:szCs w:val="20"/>
        </w:rPr>
        <w:t>b</w:t>
      </w:r>
      <w:r w:rsidRPr="00D61138">
        <w:rPr>
          <w:b w:val="0"/>
          <w:bCs/>
          <w:sz w:val="20"/>
          <w:szCs w:val="20"/>
        </w:rPr>
        <w:t xml:space="preserve">) versus zircon crystallization age. </w:t>
      </w:r>
    </w:p>
    <w:p w14:paraId="44EF7CD0" w14:textId="77777777" w:rsidR="004B0E48" w:rsidRPr="000B061D" w:rsidRDefault="004B0E48" w:rsidP="005725DE">
      <w:pPr>
        <w:pStyle w:val="SMcaption"/>
        <w:jc w:val="center"/>
        <w:rPr>
          <w:sz w:val="20"/>
        </w:rPr>
      </w:pPr>
    </w:p>
    <w:p w14:paraId="3BADB8D6" w14:textId="1F347A12" w:rsidR="00C718FA" w:rsidRPr="000B061D" w:rsidRDefault="00C718FA" w:rsidP="009A3FC3">
      <w:pPr>
        <w:pStyle w:val="SMHeading"/>
        <w:jc w:val="center"/>
        <w:rPr>
          <w:rFonts w:ascii="Arial" w:hAnsi="Arial" w:cs="Arial"/>
          <w:sz w:val="20"/>
          <w:szCs w:val="20"/>
        </w:rPr>
      </w:pPr>
      <w:r w:rsidRPr="000B061D">
        <w:rPr>
          <w:noProof/>
          <w:sz w:val="20"/>
          <w:szCs w:val="20"/>
        </w:rPr>
        <w:drawing>
          <wp:inline distT="0" distB="0" distL="0" distR="0" wp14:anchorId="2E1E3575" wp14:editId="7FACB1F8">
            <wp:extent cx="5410200" cy="1689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0" cy="1689100"/>
                    </a:xfrm>
                    <a:prstGeom prst="rect">
                      <a:avLst/>
                    </a:prstGeom>
                    <a:noFill/>
                    <a:ln>
                      <a:noFill/>
                    </a:ln>
                  </pic:spPr>
                </pic:pic>
              </a:graphicData>
            </a:graphic>
          </wp:inline>
        </w:drawing>
      </w:r>
    </w:p>
    <w:p w14:paraId="32F97D49" w14:textId="33C6B4B6" w:rsidR="00606635" w:rsidRDefault="009A3FC3" w:rsidP="009837C1">
      <w:pPr>
        <w:rPr>
          <w:rFonts w:ascii="Arial" w:hAnsi="Arial" w:cs="Arial"/>
          <w:sz w:val="20"/>
        </w:rPr>
      </w:pPr>
      <w:r w:rsidRPr="00606635">
        <w:rPr>
          <w:rFonts w:ascii="Arial" w:hAnsi="Arial" w:cs="Arial"/>
          <w:b/>
          <w:bCs/>
          <w:kern w:val="32"/>
          <w:sz w:val="20"/>
        </w:rPr>
        <w:t>Figure S</w:t>
      </w:r>
      <w:r w:rsidR="004B0E48">
        <w:rPr>
          <w:rFonts w:ascii="Arial" w:hAnsi="Arial" w:cs="Arial"/>
          <w:b/>
          <w:bCs/>
          <w:kern w:val="32"/>
          <w:sz w:val="20"/>
        </w:rPr>
        <w:t>3</w:t>
      </w:r>
      <w:r w:rsidR="00DC4279" w:rsidRPr="00606635">
        <w:rPr>
          <w:rFonts w:ascii="Arial" w:hAnsi="Arial" w:cs="Arial"/>
          <w:b/>
          <w:bCs/>
          <w:kern w:val="32"/>
          <w:sz w:val="20"/>
        </w:rPr>
        <w:t>.</w:t>
      </w:r>
      <w:r w:rsidR="00DC4279" w:rsidRPr="000B061D">
        <w:rPr>
          <w:rFonts w:ascii="Arial" w:hAnsi="Arial" w:cs="Arial"/>
          <w:sz w:val="20"/>
        </w:rPr>
        <w:t xml:space="preserve"> </w:t>
      </w:r>
      <w:r w:rsidR="00DC4279" w:rsidRPr="000B061D">
        <w:rPr>
          <w:rFonts w:ascii="Arial" w:hAnsi="Arial" w:cs="Arial"/>
          <w:sz w:val="20"/>
          <w:lang w:eastAsia="zh-CN"/>
        </w:rPr>
        <w:t xml:space="preserve">Zircon Lu–Hf isotopic compositions of PQS and </w:t>
      </w:r>
      <w:r w:rsidR="00285D31" w:rsidRPr="000B061D">
        <w:rPr>
          <w:rFonts w:ascii="Arial" w:hAnsi="Arial" w:cs="Arial"/>
          <w:sz w:val="20"/>
          <w:lang w:eastAsia="zh-CN"/>
        </w:rPr>
        <w:t>ME</w:t>
      </w:r>
      <w:r w:rsidR="00DC4279" w:rsidRPr="000B061D">
        <w:rPr>
          <w:rFonts w:ascii="Arial" w:hAnsi="Arial" w:cs="Arial"/>
          <w:sz w:val="20"/>
          <w:lang w:eastAsia="zh-CN"/>
        </w:rPr>
        <w:t xml:space="preserve">, showing the </w:t>
      </w:r>
      <w:r w:rsidR="00DC4279" w:rsidRPr="000B061D">
        <w:rPr>
          <w:rFonts w:ascii="Arial" w:hAnsi="Arial" w:cs="Arial"/>
          <w:sz w:val="20"/>
          <w:vertAlign w:val="superscript"/>
          <w:lang w:eastAsia="zh-CN"/>
        </w:rPr>
        <w:t>176</w:t>
      </w:r>
      <w:r w:rsidR="00DC4279" w:rsidRPr="000B061D">
        <w:rPr>
          <w:rFonts w:ascii="Arial" w:hAnsi="Arial" w:cs="Arial"/>
          <w:sz w:val="20"/>
          <w:lang w:eastAsia="zh-CN"/>
        </w:rPr>
        <w:t>Lu/</w:t>
      </w:r>
      <w:r w:rsidR="00DC4279" w:rsidRPr="000B061D">
        <w:rPr>
          <w:rFonts w:ascii="Arial" w:hAnsi="Arial" w:cs="Arial"/>
          <w:sz w:val="20"/>
          <w:vertAlign w:val="superscript"/>
          <w:lang w:eastAsia="zh-CN"/>
        </w:rPr>
        <w:t>177</w:t>
      </w:r>
      <w:r w:rsidR="00DC4279" w:rsidRPr="000B061D">
        <w:rPr>
          <w:rFonts w:ascii="Arial" w:hAnsi="Arial" w:cs="Arial"/>
          <w:sz w:val="20"/>
          <w:lang w:eastAsia="zh-CN"/>
        </w:rPr>
        <w:t>Hf–</w:t>
      </w:r>
      <w:r w:rsidR="00DC4279" w:rsidRPr="000B061D">
        <w:rPr>
          <w:rFonts w:ascii="Arial" w:hAnsi="Arial" w:cs="Arial"/>
          <w:sz w:val="20"/>
          <w:vertAlign w:val="superscript"/>
          <w:lang w:eastAsia="zh-CN"/>
        </w:rPr>
        <w:t>176</w:t>
      </w:r>
      <w:r w:rsidR="00DC4279" w:rsidRPr="000B061D">
        <w:rPr>
          <w:rFonts w:ascii="Arial" w:hAnsi="Arial" w:cs="Arial"/>
          <w:sz w:val="20"/>
          <w:lang w:eastAsia="zh-CN"/>
        </w:rPr>
        <w:t>Hf/</w:t>
      </w:r>
      <w:r w:rsidR="00DC4279" w:rsidRPr="000B061D">
        <w:rPr>
          <w:rFonts w:ascii="Arial" w:hAnsi="Arial" w:cs="Arial"/>
          <w:sz w:val="20"/>
          <w:vertAlign w:val="superscript"/>
          <w:lang w:eastAsia="zh-CN"/>
        </w:rPr>
        <w:t>177</w:t>
      </w:r>
      <w:r w:rsidR="00DC4279" w:rsidRPr="000B061D">
        <w:rPr>
          <w:rFonts w:ascii="Arial" w:hAnsi="Arial" w:cs="Arial"/>
          <w:sz w:val="20"/>
          <w:lang w:eastAsia="zh-CN"/>
        </w:rPr>
        <w:t>Hf variations</w:t>
      </w:r>
      <w:r w:rsidR="00606635">
        <w:rPr>
          <w:rFonts w:ascii="Arial" w:hAnsi="Arial" w:cs="Arial"/>
          <w:b/>
          <w:sz w:val="20"/>
          <w:lang w:eastAsia="zh-CN"/>
        </w:rPr>
        <w:t xml:space="preserve"> </w:t>
      </w:r>
      <w:r w:rsidR="00606635" w:rsidRPr="00606635">
        <w:rPr>
          <w:rFonts w:ascii="Arial" w:hAnsi="Arial" w:cs="Arial"/>
          <w:b/>
          <w:sz w:val="20"/>
          <w:lang w:eastAsia="zh-CN"/>
        </w:rPr>
        <w:t>(a)</w:t>
      </w:r>
      <w:r w:rsidR="00DC4279" w:rsidRPr="000B061D">
        <w:rPr>
          <w:rFonts w:ascii="Arial" w:hAnsi="Arial" w:cs="Arial"/>
          <w:sz w:val="20"/>
          <w:lang w:eastAsia="zh-CN"/>
        </w:rPr>
        <w:t xml:space="preserve"> </w:t>
      </w:r>
      <w:r w:rsidR="00DC4279" w:rsidRPr="000B061D">
        <w:rPr>
          <w:rFonts w:ascii="Arial" w:hAnsi="Arial" w:cs="Arial" w:hint="eastAsia"/>
          <w:sz w:val="20"/>
          <w:lang w:eastAsia="zh-CN"/>
        </w:rPr>
        <w:t>and</w:t>
      </w:r>
      <w:r w:rsidR="00DC4279" w:rsidRPr="000B061D">
        <w:rPr>
          <w:rFonts w:ascii="Arial" w:hAnsi="Arial" w:cs="Arial"/>
          <w:sz w:val="20"/>
          <w:lang w:eastAsia="zh-CN"/>
        </w:rPr>
        <w:t xml:space="preserve"> histograms of two-stage Hf model age</w:t>
      </w:r>
      <w:r w:rsidR="00DC4279" w:rsidRPr="000B061D">
        <w:rPr>
          <w:rFonts w:ascii="Arial" w:hAnsi="Arial" w:cs="Arial" w:hint="eastAsia"/>
          <w:sz w:val="20"/>
          <w:lang w:eastAsia="zh-CN"/>
        </w:rPr>
        <w:t>s</w:t>
      </w:r>
      <w:r w:rsidR="00606635">
        <w:rPr>
          <w:rFonts w:ascii="Arial" w:hAnsi="Arial" w:cs="Arial"/>
          <w:b/>
          <w:sz w:val="20"/>
          <w:lang w:eastAsia="zh-CN"/>
        </w:rPr>
        <w:t xml:space="preserve"> </w:t>
      </w:r>
      <w:r w:rsidR="00606635" w:rsidRPr="00606635">
        <w:rPr>
          <w:rFonts w:ascii="Arial" w:hAnsi="Arial" w:cs="Arial"/>
          <w:b/>
          <w:sz w:val="20"/>
          <w:lang w:eastAsia="zh-CN"/>
        </w:rPr>
        <w:t>(</w:t>
      </w:r>
      <w:r w:rsidR="00606635">
        <w:rPr>
          <w:rFonts w:ascii="Arial" w:hAnsi="Arial" w:cs="Arial"/>
          <w:b/>
          <w:sz w:val="20"/>
          <w:lang w:eastAsia="zh-CN"/>
        </w:rPr>
        <w:t>d</w:t>
      </w:r>
      <w:r w:rsidR="00606635" w:rsidRPr="00606635">
        <w:rPr>
          <w:rFonts w:ascii="Arial" w:hAnsi="Arial" w:cs="Arial"/>
          <w:b/>
          <w:sz w:val="20"/>
          <w:lang w:eastAsia="zh-CN"/>
        </w:rPr>
        <w:t>)</w:t>
      </w:r>
      <w:r w:rsidR="00DC4279" w:rsidRPr="000B061D">
        <w:rPr>
          <w:rFonts w:ascii="Arial" w:hAnsi="Arial" w:cs="Arial"/>
          <w:sz w:val="20"/>
          <w:lang w:eastAsia="zh-CN"/>
        </w:rPr>
        <w:t>.</w:t>
      </w:r>
      <w:r w:rsidR="00606635">
        <w:rPr>
          <w:rFonts w:ascii="Arial" w:hAnsi="Arial" w:cs="Arial"/>
          <w:b/>
          <w:sz w:val="20"/>
          <w:lang w:eastAsia="zh-CN"/>
        </w:rPr>
        <w:t xml:space="preserve"> </w:t>
      </w:r>
      <w:r w:rsidR="00606635" w:rsidRPr="00606635">
        <w:rPr>
          <w:rFonts w:ascii="Arial" w:hAnsi="Arial" w:cs="Arial"/>
          <w:sz w:val="20"/>
        </w:rPr>
        <w:t xml:space="preserve">The depleted mantle (DM) evolution curve was calculated using mean present-day values of </w:t>
      </w:r>
      <w:r w:rsidR="00606635" w:rsidRPr="00606635">
        <w:rPr>
          <w:rFonts w:ascii="Arial" w:hAnsi="Arial" w:cs="Arial"/>
          <w:sz w:val="20"/>
          <w:vertAlign w:val="superscript"/>
        </w:rPr>
        <w:t>176</w:t>
      </w:r>
      <w:r w:rsidR="00606635" w:rsidRPr="00606635">
        <w:rPr>
          <w:rFonts w:ascii="Arial" w:hAnsi="Arial" w:cs="Arial"/>
          <w:sz w:val="20"/>
        </w:rPr>
        <w:t>Lu/</w:t>
      </w:r>
      <w:r w:rsidR="00606635" w:rsidRPr="00606635">
        <w:rPr>
          <w:rFonts w:ascii="Arial" w:hAnsi="Arial" w:cs="Arial"/>
          <w:sz w:val="20"/>
          <w:vertAlign w:val="superscript"/>
        </w:rPr>
        <w:t>177</w:t>
      </w:r>
      <w:r w:rsidR="00606635" w:rsidRPr="00606635">
        <w:rPr>
          <w:rFonts w:ascii="Arial" w:hAnsi="Arial" w:cs="Arial"/>
          <w:sz w:val="20"/>
        </w:rPr>
        <w:t xml:space="preserve">Hf = 0.0384 and </w:t>
      </w:r>
      <w:r w:rsidR="00606635" w:rsidRPr="00606635">
        <w:rPr>
          <w:rFonts w:ascii="Arial" w:hAnsi="Arial" w:cs="Arial"/>
          <w:sz w:val="20"/>
          <w:vertAlign w:val="superscript"/>
        </w:rPr>
        <w:t>176</w:t>
      </w:r>
      <w:r w:rsidR="00606635" w:rsidRPr="00606635">
        <w:rPr>
          <w:rFonts w:ascii="Arial" w:hAnsi="Arial" w:cs="Arial"/>
          <w:sz w:val="20"/>
        </w:rPr>
        <w:t>Hf/</w:t>
      </w:r>
      <w:r w:rsidR="00606635" w:rsidRPr="00606635">
        <w:rPr>
          <w:rFonts w:ascii="Arial" w:hAnsi="Arial" w:cs="Arial"/>
          <w:sz w:val="20"/>
          <w:vertAlign w:val="superscript"/>
        </w:rPr>
        <w:t>177</w:t>
      </w:r>
      <w:r w:rsidR="00606635" w:rsidRPr="00606635">
        <w:rPr>
          <w:rFonts w:ascii="Arial" w:hAnsi="Arial" w:cs="Arial"/>
          <w:sz w:val="20"/>
        </w:rPr>
        <w:t>Hf = 0.28325, after Griffin et al. (2002).</w:t>
      </w:r>
    </w:p>
    <w:p w14:paraId="67433767" w14:textId="28482C9E" w:rsidR="0066722B" w:rsidRPr="00606635" w:rsidRDefault="0066722B" w:rsidP="009837C1">
      <w:pPr>
        <w:rPr>
          <w:rFonts w:ascii="Arial" w:hAnsi="Arial" w:cs="Arial"/>
          <w:sz w:val="20"/>
        </w:rPr>
      </w:pPr>
    </w:p>
    <w:p w14:paraId="749C799A" w14:textId="77777777" w:rsidR="00E70023" w:rsidRPr="000B061D" w:rsidRDefault="00E70023" w:rsidP="005465FF">
      <w:pPr>
        <w:pStyle w:val="SMcaption"/>
        <w:rPr>
          <w:rFonts w:ascii="Arial" w:hAnsi="Arial" w:cs="Arial"/>
          <w:b/>
          <w:sz w:val="20"/>
        </w:rPr>
      </w:pPr>
    </w:p>
    <w:sectPr w:rsidR="00E70023" w:rsidRPr="000B061D" w:rsidSect="00F125E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F672" w14:textId="77777777" w:rsidR="00D0688E" w:rsidRDefault="00D0688E">
      <w:r>
        <w:separator/>
      </w:r>
    </w:p>
  </w:endnote>
  <w:endnote w:type="continuationSeparator" w:id="0">
    <w:p w14:paraId="0C328724" w14:textId="77777777" w:rsidR="00D0688E" w:rsidRDefault="00D0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g?"/>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MT">
    <w:altName w:val="方正舒体"/>
    <w:panose1 w:val="00000000000000000000"/>
    <w:charset w:val="86"/>
    <w:family w:val="auto"/>
    <w:notTrueType/>
    <w:pitch w:val="default"/>
    <w:sig w:usb0="00000001" w:usb1="080E0000" w:usb2="00000010" w:usb3="00000000" w:csb0="00040000" w:csb1="00000000"/>
  </w:font>
  <w:font w:name="FangSong_GB2312">
    <w:altName w:val="?????¡ì?|????¨¬?????¨¬?????¨¬?a"/>
    <w:charset w:val="86"/>
    <w:family w:val="modern"/>
    <w:pitch w:val="fixed"/>
    <w:sig w:usb0="00000001" w:usb1="080E0000" w:usb2="00000010" w:usb3="00000000" w:csb0="00040000" w:csb1="00000000"/>
  </w:font>
  <w:font w:name="STKaiti">
    <w:charset w:val="86"/>
    <w:family w:val="auto"/>
    <w:pitch w:val="variable"/>
    <w:sig w:usb0="00000287" w:usb1="080F0000" w:usb2="00000010" w:usb3="00000000" w:csb0="0004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53A" w14:textId="77777777" w:rsidR="00916B26" w:rsidRDefault="0091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7ED" w14:textId="77777777" w:rsidR="00F125EE" w:rsidRDefault="00114193">
    <w:pPr>
      <w:pStyle w:val="Footer"/>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EAB5" w14:textId="77777777" w:rsidR="00916B26" w:rsidRDefault="0091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1753" w14:textId="77777777" w:rsidR="00D0688E" w:rsidRDefault="00D0688E">
      <w:r>
        <w:separator/>
      </w:r>
    </w:p>
  </w:footnote>
  <w:footnote w:type="continuationSeparator" w:id="0">
    <w:p w14:paraId="59C49621" w14:textId="77777777" w:rsidR="00D0688E" w:rsidRDefault="00D0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0074" w14:textId="77777777" w:rsidR="00916B26" w:rsidRDefault="0091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1C" w14:textId="77777777" w:rsidR="003A2FD8" w:rsidRPr="005001AC" w:rsidRDefault="003A2FD8" w:rsidP="005001AC">
    <w:pPr>
      <w:jc w:val="right"/>
      <w:rPr>
        <w:sz w:val="20"/>
      </w:rPr>
    </w:pPr>
  </w:p>
  <w:p w14:paraId="1A8984B2" w14:textId="77777777" w:rsidR="00916B26" w:rsidRPr="005001AC" w:rsidRDefault="00916B26" w:rsidP="00916B26">
    <w:pPr>
      <w:jc w:val="right"/>
      <w:rPr>
        <w:sz w:val="20"/>
      </w:rPr>
    </w:pPr>
  </w:p>
  <w:p w14:paraId="28B46F57" w14:textId="77777777" w:rsidR="00916B26" w:rsidRDefault="00916B26" w:rsidP="00916B26">
    <w:r w:rsidRPr="00245B9E">
      <w:t>Wang</w:t>
    </w:r>
    <w:r>
      <w:t xml:space="preserve">, C., </w:t>
    </w:r>
    <w:r w:rsidRPr="00245B9E">
      <w:t>Liu</w:t>
    </w:r>
    <w:r>
      <w:t xml:space="preserve">, L., </w:t>
    </w:r>
    <w:r w:rsidRPr="00245B9E">
      <w:t>Yang</w:t>
    </w:r>
    <w:r>
      <w:t xml:space="preserve">, W.-Q., </w:t>
    </w:r>
    <w:r w:rsidRPr="00245B9E">
      <w:t>Cao</w:t>
    </w:r>
    <w:r>
      <w:t xml:space="preserve">, </w:t>
    </w:r>
    <w:r w:rsidRPr="00245B9E">
      <w:t>Y</w:t>
    </w:r>
    <w:r>
      <w:t>.</w:t>
    </w:r>
    <w:r w:rsidRPr="00245B9E">
      <w:t>-</w:t>
    </w:r>
    <w:r>
      <w:t xml:space="preserve">T., and </w:t>
    </w:r>
    <w:r w:rsidRPr="00245B9E">
      <w:t>Smithies</w:t>
    </w:r>
    <w:r>
      <w:t xml:space="preserve">, R.H., 2022, </w:t>
    </w:r>
    <w:r w:rsidRPr="009321C5">
      <w:t xml:space="preserve">Mafic magma driven magmatic processes and compositional variation in granitic pluton construction: The Buya intrusion of West Kunlun, </w:t>
    </w:r>
    <w:r>
      <w:t>N</w:t>
    </w:r>
    <w:r w:rsidRPr="009321C5">
      <w:t>orthwestern China</w:t>
    </w:r>
    <w:r>
      <w:t xml:space="preserve">: Geosphere, v. 18, </w:t>
    </w:r>
    <w:r w:rsidRPr="009558F3">
      <w:t>https://doi.org/10.1130/GES02451.1</w:t>
    </w: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A3F1" w14:textId="77777777" w:rsidR="00916B26" w:rsidRDefault="0091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37DE9"/>
    <w:rsid w:val="00043571"/>
    <w:rsid w:val="00065EBD"/>
    <w:rsid w:val="00083B44"/>
    <w:rsid w:val="000850DC"/>
    <w:rsid w:val="00087D37"/>
    <w:rsid w:val="00087DE2"/>
    <w:rsid w:val="00094365"/>
    <w:rsid w:val="000B061D"/>
    <w:rsid w:val="000B1557"/>
    <w:rsid w:val="000B2E64"/>
    <w:rsid w:val="000C2771"/>
    <w:rsid w:val="000D68BD"/>
    <w:rsid w:val="000F0DCE"/>
    <w:rsid w:val="00111843"/>
    <w:rsid w:val="00112C5B"/>
    <w:rsid w:val="00113908"/>
    <w:rsid w:val="00114193"/>
    <w:rsid w:val="001154E6"/>
    <w:rsid w:val="00115A38"/>
    <w:rsid w:val="0011687B"/>
    <w:rsid w:val="0012371A"/>
    <w:rsid w:val="00124F82"/>
    <w:rsid w:val="001278E3"/>
    <w:rsid w:val="00130743"/>
    <w:rsid w:val="00130B50"/>
    <w:rsid w:val="001471C6"/>
    <w:rsid w:val="0016337A"/>
    <w:rsid w:val="00164269"/>
    <w:rsid w:val="00165707"/>
    <w:rsid w:val="00175552"/>
    <w:rsid w:val="001966FD"/>
    <w:rsid w:val="001967D4"/>
    <w:rsid w:val="00197826"/>
    <w:rsid w:val="001A1BDE"/>
    <w:rsid w:val="001B3C47"/>
    <w:rsid w:val="001C7B4E"/>
    <w:rsid w:val="001F0876"/>
    <w:rsid w:val="001F167C"/>
    <w:rsid w:val="001F5E91"/>
    <w:rsid w:val="0020183F"/>
    <w:rsid w:val="002077B9"/>
    <w:rsid w:val="00221C70"/>
    <w:rsid w:val="002251AF"/>
    <w:rsid w:val="00226C14"/>
    <w:rsid w:val="00227D86"/>
    <w:rsid w:val="00230307"/>
    <w:rsid w:val="00243B68"/>
    <w:rsid w:val="0024704C"/>
    <w:rsid w:val="00262D72"/>
    <w:rsid w:val="00264C9B"/>
    <w:rsid w:val="002800B6"/>
    <w:rsid w:val="00285D31"/>
    <w:rsid w:val="0029069F"/>
    <w:rsid w:val="002B35D4"/>
    <w:rsid w:val="002C030F"/>
    <w:rsid w:val="002C3957"/>
    <w:rsid w:val="002D4453"/>
    <w:rsid w:val="002F3966"/>
    <w:rsid w:val="00300CE2"/>
    <w:rsid w:val="00320E2C"/>
    <w:rsid w:val="00331D75"/>
    <w:rsid w:val="003533AE"/>
    <w:rsid w:val="00354B84"/>
    <w:rsid w:val="00355362"/>
    <w:rsid w:val="00363E44"/>
    <w:rsid w:val="00373299"/>
    <w:rsid w:val="003859A2"/>
    <w:rsid w:val="00395E86"/>
    <w:rsid w:val="003A2FD8"/>
    <w:rsid w:val="003B40E6"/>
    <w:rsid w:val="003C007A"/>
    <w:rsid w:val="003E1980"/>
    <w:rsid w:val="003F11BC"/>
    <w:rsid w:val="003F2160"/>
    <w:rsid w:val="003F6E14"/>
    <w:rsid w:val="00405336"/>
    <w:rsid w:val="004463B8"/>
    <w:rsid w:val="004568BC"/>
    <w:rsid w:val="004571D5"/>
    <w:rsid w:val="00462F1B"/>
    <w:rsid w:val="0046356B"/>
    <w:rsid w:val="00477182"/>
    <w:rsid w:val="004779CB"/>
    <w:rsid w:val="00481118"/>
    <w:rsid w:val="004A1E9F"/>
    <w:rsid w:val="004B0E48"/>
    <w:rsid w:val="004B0EAA"/>
    <w:rsid w:val="004B2481"/>
    <w:rsid w:val="004D2A8C"/>
    <w:rsid w:val="004D2AF3"/>
    <w:rsid w:val="004E3390"/>
    <w:rsid w:val="004E42D8"/>
    <w:rsid w:val="004E7BA2"/>
    <w:rsid w:val="004F7EDF"/>
    <w:rsid w:val="005001AC"/>
    <w:rsid w:val="0051043A"/>
    <w:rsid w:val="005146E5"/>
    <w:rsid w:val="00517016"/>
    <w:rsid w:val="00527D71"/>
    <w:rsid w:val="00527D84"/>
    <w:rsid w:val="005314B5"/>
    <w:rsid w:val="005358AB"/>
    <w:rsid w:val="0053674F"/>
    <w:rsid w:val="00536841"/>
    <w:rsid w:val="0054432F"/>
    <w:rsid w:val="005465FF"/>
    <w:rsid w:val="00552C23"/>
    <w:rsid w:val="00553039"/>
    <w:rsid w:val="00554B3A"/>
    <w:rsid w:val="005607DD"/>
    <w:rsid w:val="005725DE"/>
    <w:rsid w:val="00572DFF"/>
    <w:rsid w:val="00581350"/>
    <w:rsid w:val="005A558C"/>
    <w:rsid w:val="005B186E"/>
    <w:rsid w:val="005B1E53"/>
    <w:rsid w:val="005B3BF8"/>
    <w:rsid w:val="005C6651"/>
    <w:rsid w:val="005D12B7"/>
    <w:rsid w:val="005D6D71"/>
    <w:rsid w:val="005E28F8"/>
    <w:rsid w:val="005E6513"/>
    <w:rsid w:val="00606635"/>
    <w:rsid w:val="00611F9E"/>
    <w:rsid w:val="006237D4"/>
    <w:rsid w:val="00651114"/>
    <w:rsid w:val="006622CF"/>
    <w:rsid w:val="00662890"/>
    <w:rsid w:val="00664A12"/>
    <w:rsid w:val="0066722B"/>
    <w:rsid w:val="006679DD"/>
    <w:rsid w:val="00670299"/>
    <w:rsid w:val="0068469F"/>
    <w:rsid w:val="00691985"/>
    <w:rsid w:val="006962C1"/>
    <w:rsid w:val="006A1B64"/>
    <w:rsid w:val="006B03AD"/>
    <w:rsid w:val="006D5FF6"/>
    <w:rsid w:val="006F602A"/>
    <w:rsid w:val="007108F5"/>
    <w:rsid w:val="00713AF2"/>
    <w:rsid w:val="00713E5B"/>
    <w:rsid w:val="00721777"/>
    <w:rsid w:val="007402FC"/>
    <w:rsid w:val="007411A1"/>
    <w:rsid w:val="007563F2"/>
    <w:rsid w:val="00764008"/>
    <w:rsid w:val="00797106"/>
    <w:rsid w:val="007A1B4C"/>
    <w:rsid w:val="007B5D06"/>
    <w:rsid w:val="007E79B5"/>
    <w:rsid w:val="00807D35"/>
    <w:rsid w:val="008115D9"/>
    <w:rsid w:val="008223E1"/>
    <w:rsid w:val="00825950"/>
    <w:rsid w:val="00831F06"/>
    <w:rsid w:val="00885C9B"/>
    <w:rsid w:val="008927D0"/>
    <w:rsid w:val="008B485D"/>
    <w:rsid w:val="008C3CF9"/>
    <w:rsid w:val="008D0047"/>
    <w:rsid w:val="008D1685"/>
    <w:rsid w:val="008D5D2A"/>
    <w:rsid w:val="008E2CF1"/>
    <w:rsid w:val="008F08DC"/>
    <w:rsid w:val="008F5A8A"/>
    <w:rsid w:val="009055D1"/>
    <w:rsid w:val="00914B63"/>
    <w:rsid w:val="00916B26"/>
    <w:rsid w:val="00921867"/>
    <w:rsid w:val="00922705"/>
    <w:rsid w:val="00924546"/>
    <w:rsid w:val="009246D4"/>
    <w:rsid w:val="00932FE5"/>
    <w:rsid w:val="009354F3"/>
    <w:rsid w:val="0093632E"/>
    <w:rsid w:val="009447DC"/>
    <w:rsid w:val="00961BA5"/>
    <w:rsid w:val="009743A9"/>
    <w:rsid w:val="00975720"/>
    <w:rsid w:val="0098344E"/>
    <w:rsid w:val="009837C1"/>
    <w:rsid w:val="009859A7"/>
    <w:rsid w:val="009A3FC3"/>
    <w:rsid w:val="009A5287"/>
    <w:rsid w:val="009B2AC5"/>
    <w:rsid w:val="009B7984"/>
    <w:rsid w:val="009D78DE"/>
    <w:rsid w:val="009E5801"/>
    <w:rsid w:val="009F19F8"/>
    <w:rsid w:val="009F4BED"/>
    <w:rsid w:val="009F7D93"/>
    <w:rsid w:val="00A036DF"/>
    <w:rsid w:val="00A276DF"/>
    <w:rsid w:val="00A3084A"/>
    <w:rsid w:val="00A3403B"/>
    <w:rsid w:val="00A50033"/>
    <w:rsid w:val="00A51A12"/>
    <w:rsid w:val="00A534D3"/>
    <w:rsid w:val="00A56DED"/>
    <w:rsid w:val="00A627D4"/>
    <w:rsid w:val="00A74DA2"/>
    <w:rsid w:val="00A92733"/>
    <w:rsid w:val="00AA76F3"/>
    <w:rsid w:val="00AC7DA6"/>
    <w:rsid w:val="00AD499C"/>
    <w:rsid w:val="00AD7D8A"/>
    <w:rsid w:val="00AF4A60"/>
    <w:rsid w:val="00B03D62"/>
    <w:rsid w:val="00B30334"/>
    <w:rsid w:val="00B3126C"/>
    <w:rsid w:val="00B3147F"/>
    <w:rsid w:val="00B33924"/>
    <w:rsid w:val="00B36869"/>
    <w:rsid w:val="00B43B31"/>
    <w:rsid w:val="00B47CFA"/>
    <w:rsid w:val="00B57F00"/>
    <w:rsid w:val="00B626CB"/>
    <w:rsid w:val="00B7560C"/>
    <w:rsid w:val="00B77E40"/>
    <w:rsid w:val="00B80125"/>
    <w:rsid w:val="00B82C22"/>
    <w:rsid w:val="00B93DBA"/>
    <w:rsid w:val="00B9440A"/>
    <w:rsid w:val="00B952C1"/>
    <w:rsid w:val="00B968D7"/>
    <w:rsid w:val="00B96996"/>
    <w:rsid w:val="00BA3953"/>
    <w:rsid w:val="00BB2D2A"/>
    <w:rsid w:val="00BC3681"/>
    <w:rsid w:val="00BD0695"/>
    <w:rsid w:val="00BD58CF"/>
    <w:rsid w:val="00BE60D3"/>
    <w:rsid w:val="00BF1BEB"/>
    <w:rsid w:val="00BF1BF9"/>
    <w:rsid w:val="00C04CC1"/>
    <w:rsid w:val="00C071FC"/>
    <w:rsid w:val="00C1229F"/>
    <w:rsid w:val="00C22C02"/>
    <w:rsid w:val="00C27F6F"/>
    <w:rsid w:val="00C30E83"/>
    <w:rsid w:val="00C3789A"/>
    <w:rsid w:val="00C430F3"/>
    <w:rsid w:val="00C50C6D"/>
    <w:rsid w:val="00C52745"/>
    <w:rsid w:val="00C5758E"/>
    <w:rsid w:val="00C600D9"/>
    <w:rsid w:val="00C634D7"/>
    <w:rsid w:val="00C65171"/>
    <w:rsid w:val="00C718FA"/>
    <w:rsid w:val="00C73E09"/>
    <w:rsid w:val="00C8241B"/>
    <w:rsid w:val="00CA14F8"/>
    <w:rsid w:val="00CC1384"/>
    <w:rsid w:val="00CD3720"/>
    <w:rsid w:val="00CE6EAA"/>
    <w:rsid w:val="00CF1848"/>
    <w:rsid w:val="00CF5C2F"/>
    <w:rsid w:val="00D04BCF"/>
    <w:rsid w:val="00D05206"/>
    <w:rsid w:val="00D0688E"/>
    <w:rsid w:val="00D10134"/>
    <w:rsid w:val="00D12E4D"/>
    <w:rsid w:val="00D143D9"/>
    <w:rsid w:val="00D355C2"/>
    <w:rsid w:val="00D4372A"/>
    <w:rsid w:val="00D45931"/>
    <w:rsid w:val="00D60BB0"/>
    <w:rsid w:val="00D65708"/>
    <w:rsid w:val="00D8159F"/>
    <w:rsid w:val="00DC4279"/>
    <w:rsid w:val="00DD1D04"/>
    <w:rsid w:val="00DD79D7"/>
    <w:rsid w:val="00E20431"/>
    <w:rsid w:val="00E208B4"/>
    <w:rsid w:val="00E257C8"/>
    <w:rsid w:val="00E40896"/>
    <w:rsid w:val="00E43D2D"/>
    <w:rsid w:val="00E449CB"/>
    <w:rsid w:val="00E50A11"/>
    <w:rsid w:val="00E620CB"/>
    <w:rsid w:val="00E63760"/>
    <w:rsid w:val="00E64049"/>
    <w:rsid w:val="00E70023"/>
    <w:rsid w:val="00E707AF"/>
    <w:rsid w:val="00E86E43"/>
    <w:rsid w:val="00E8732A"/>
    <w:rsid w:val="00E949AF"/>
    <w:rsid w:val="00E9773B"/>
    <w:rsid w:val="00EC13A3"/>
    <w:rsid w:val="00EC7C85"/>
    <w:rsid w:val="00ED69CA"/>
    <w:rsid w:val="00EE35AB"/>
    <w:rsid w:val="00EF25A3"/>
    <w:rsid w:val="00F01BFC"/>
    <w:rsid w:val="00F125EE"/>
    <w:rsid w:val="00F12E98"/>
    <w:rsid w:val="00F2098C"/>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C143D"/>
    <w:rsid w:val="00FD0149"/>
    <w:rsid w:val="00FD1D5E"/>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uiPriority w:val="9"/>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uiPriority w:val="9"/>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CharCharCharCharCharChar">
    <w:name w:val="Char Char Char Char Char Char"/>
    <w:basedOn w:val="Normal"/>
    <w:rsid w:val="00E50A11"/>
    <w:pPr>
      <w:spacing w:after="200" w:line="276" w:lineRule="auto"/>
    </w:pPr>
    <w:rPr>
      <w:rFonts w:eastAsia="Times New Roman"/>
      <w:szCs w:val="22"/>
      <w:lang w:val="en-AU" w:eastAsia="en-AU"/>
    </w:rPr>
  </w:style>
  <w:style w:type="paragraph" w:customStyle="1" w:styleId="CharCharCharCharCharChar0">
    <w:name w:val="Char Char Char Char Char Char"/>
    <w:basedOn w:val="Normal"/>
    <w:rsid w:val="005465FF"/>
    <w:pPr>
      <w:spacing w:after="200" w:line="276" w:lineRule="auto"/>
    </w:pPr>
    <w:rPr>
      <w:rFonts w:eastAsia="Times New Roman"/>
      <w:szCs w:val="22"/>
      <w:lang w:val="en-AU" w:eastAsia="en-AU"/>
    </w:rPr>
  </w:style>
  <w:style w:type="character" w:customStyle="1" w:styleId="text">
    <w:name w:val="text"/>
    <w:basedOn w:val="DefaultParagraphFont"/>
    <w:rsid w:val="006D5FF6"/>
  </w:style>
  <w:style w:type="character" w:customStyle="1" w:styleId="author-ref">
    <w:name w:val="author-ref"/>
    <w:basedOn w:val="DefaultParagraphFont"/>
    <w:rsid w:val="006D5FF6"/>
  </w:style>
  <w:style w:type="paragraph" w:customStyle="1" w:styleId="References">
    <w:name w:val="References"/>
    <w:basedOn w:val="Normal"/>
    <w:rsid w:val="00C430F3"/>
    <w:pPr>
      <w:ind w:left="432" w:hanging="432"/>
    </w:pPr>
    <w:rPr>
      <w:rFonts w:eastAsiaTheme="minorEastAsia"/>
      <w:szCs w:val="24"/>
    </w:rPr>
  </w:style>
  <w:style w:type="paragraph" w:customStyle="1" w:styleId="Arttitle">
    <w:name w:val="Art title"/>
    <w:basedOn w:val="Normal"/>
    <w:rsid w:val="000B061D"/>
    <w:pPr>
      <w:outlineLvl w:val="0"/>
    </w:pPr>
    <w:rPr>
      <w:rFonts w:eastAsia="DengXian"/>
      <w:sz w:val="36"/>
      <w:szCs w:val="24"/>
    </w:rPr>
  </w:style>
  <w:style w:type="paragraph" w:customStyle="1" w:styleId="Author">
    <w:name w:val="Author"/>
    <w:basedOn w:val="Normal"/>
    <w:rsid w:val="000B061D"/>
    <w:rPr>
      <w:rFonts w:eastAsia="DengXian"/>
      <w:b/>
      <w:szCs w:val="24"/>
    </w:rPr>
  </w:style>
  <w:style w:type="paragraph" w:customStyle="1" w:styleId="Head1">
    <w:name w:val="Head 1"/>
    <w:basedOn w:val="Normal"/>
    <w:rsid w:val="004B0E48"/>
    <w:pPr>
      <w:outlineLvl w:val="0"/>
    </w:pPr>
    <w:rPr>
      <w:rFonts w:eastAsia="DengXi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88">
      <w:bodyDiv w:val="1"/>
      <w:marLeft w:val="0"/>
      <w:marRight w:val="0"/>
      <w:marTop w:val="0"/>
      <w:marBottom w:val="0"/>
      <w:divBdr>
        <w:top w:val="none" w:sz="0" w:space="0" w:color="auto"/>
        <w:left w:val="none" w:sz="0" w:space="0" w:color="auto"/>
        <w:bottom w:val="none" w:sz="0" w:space="0" w:color="auto"/>
        <w:right w:val="none" w:sz="0" w:space="0" w:color="auto"/>
      </w:divBdr>
      <w:divsChild>
        <w:div w:id="1929192197">
          <w:marLeft w:val="0"/>
          <w:marRight w:val="0"/>
          <w:marTop w:val="0"/>
          <w:marBottom w:val="0"/>
          <w:divBdr>
            <w:top w:val="none" w:sz="0" w:space="0" w:color="auto"/>
            <w:left w:val="none" w:sz="0" w:space="0" w:color="auto"/>
            <w:bottom w:val="none" w:sz="0" w:space="0" w:color="auto"/>
            <w:right w:val="none" w:sz="0" w:space="0" w:color="auto"/>
          </w:divBdr>
          <w:divsChild>
            <w:div w:id="897595696">
              <w:marLeft w:val="0"/>
              <w:marRight w:val="0"/>
              <w:marTop w:val="0"/>
              <w:marBottom w:val="0"/>
              <w:divBdr>
                <w:top w:val="none" w:sz="0" w:space="0" w:color="auto"/>
                <w:left w:val="none" w:sz="0" w:space="0" w:color="auto"/>
                <w:bottom w:val="none" w:sz="0" w:space="0" w:color="auto"/>
                <w:right w:val="none" w:sz="0" w:space="0" w:color="auto"/>
              </w:divBdr>
              <w:divsChild>
                <w:div w:id="807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810250429">
      <w:bodyDiv w:val="1"/>
      <w:marLeft w:val="0"/>
      <w:marRight w:val="0"/>
      <w:marTop w:val="0"/>
      <w:marBottom w:val="0"/>
      <w:divBdr>
        <w:top w:val="none" w:sz="0" w:space="0" w:color="auto"/>
        <w:left w:val="none" w:sz="0" w:space="0" w:color="auto"/>
        <w:bottom w:val="none" w:sz="0" w:space="0" w:color="auto"/>
        <w:right w:val="none" w:sz="0" w:space="0" w:color="auto"/>
      </w:divBdr>
      <w:divsChild>
        <w:div w:id="779565885">
          <w:marLeft w:val="0"/>
          <w:marRight w:val="0"/>
          <w:marTop w:val="225"/>
          <w:marBottom w:val="225"/>
          <w:divBdr>
            <w:top w:val="none" w:sz="0" w:space="0" w:color="auto"/>
            <w:left w:val="none" w:sz="0" w:space="0" w:color="auto"/>
            <w:bottom w:val="none" w:sz="0" w:space="0" w:color="auto"/>
            <w:right w:val="none" w:sz="0" w:space="0" w:color="auto"/>
          </w:divBdr>
          <w:divsChild>
            <w:div w:id="173109907">
              <w:marLeft w:val="0"/>
              <w:marRight w:val="0"/>
              <w:marTop w:val="0"/>
              <w:marBottom w:val="0"/>
              <w:divBdr>
                <w:top w:val="none" w:sz="0" w:space="0" w:color="auto"/>
                <w:left w:val="none" w:sz="0" w:space="0" w:color="auto"/>
                <w:bottom w:val="none" w:sz="0" w:space="0" w:color="auto"/>
                <w:right w:val="none" w:sz="0" w:space="0" w:color="auto"/>
              </w:divBdr>
              <w:divsChild>
                <w:div w:id="1001154304">
                  <w:marLeft w:val="0"/>
                  <w:marRight w:val="0"/>
                  <w:marTop w:val="0"/>
                  <w:marBottom w:val="0"/>
                  <w:divBdr>
                    <w:top w:val="none" w:sz="0" w:space="0" w:color="auto"/>
                    <w:left w:val="none" w:sz="0" w:space="0" w:color="auto"/>
                    <w:bottom w:val="none" w:sz="0" w:space="0" w:color="auto"/>
                    <w:right w:val="none" w:sz="0" w:space="0" w:color="auto"/>
                  </w:divBdr>
                  <w:divsChild>
                    <w:div w:id="2110542408">
                      <w:marLeft w:val="0"/>
                      <w:marRight w:val="0"/>
                      <w:marTop w:val="0"/>
                      <w:marBottom w:val="0"/>
                      <w:divBdr>
                        <w:top w:val="none" w:sz="0" w:space="0" w:color="auto"/>
                        <w:left w:val="none" w:sz="0" w:space="0" w:color="auto"/>
                        <w:bottom w:val="none" w:sz="0" w:space="0" w:color="auto"/>
                        <w:right w:val="none" w:sz="0" w:space="0" w:color="auto"/>
                      </w:divBdr>
                    </w:div>
                    <w:div w:id="1013805164">
                      <w:marLeft w:val="0"/>
                      <w:marRight w:val="0"/>
                      <w:marTop w:val="0"/>
                      <w:marBottom w:val="0"/>
                      <w:divBdr>
                        <w:top w:val="none" w:sz="0" w:space="0" w:color="auto"/>
                        <w:left w:val="none" w:sz="0" w:space="0" w:color="auto"/>
                        <w:bottom w:val="none" w:sz="0" w:space="0" w:color="auto"/>
                        <w:right w:val="none" w:sz="0" w:space="0" w:color="auto"/>
                      </w:divBdr>
                    </w:div>
                    <w:div w:id="235752035">
                      <w:marLeft w:val="0"/>
                      <w:marRight w:val="0"/>
                      <w:marTop w:val="0"/>
                      <w:marBottom w:val="0"/>
                      <w:divBdr>
                        <w:top w:val="none" w:sz="0" w:space="0" w:color="auto"/>
                        <w:left w:val="none" w:sz="0" w:space="0" w:color="auto"/>
                        <w:bottom w:val="none" w:sz="0" w:space="0" w:color="auto"/>
                        <w:right w:val="none" w:sz="0" w:space="0" w:color="auto"/>
                      </w:divBdr>
                    </w:div>
                    <w:div w:id="1450394770">
                      <w:marLeft w:val="0"/>
                      <w:marRight w:val="0"/>
                      <w:marTop w:val="0"/>
                      <w:marBottom w:val="0"/>
                      <w:divBdr>
                        <w:top w:val="none" w:sz="0" w:space="0" w:color="auto"/>
                        <w:left w:val="none" w:sz="0" w:space="0" w:color="auto"/>
                        <w:bottom w:val="none" w:sz="0" w:space="0" w:color="auto"/>
                        <w:right w:val="none" w:sz="0" w:space="0" w:color="auto"/>
                      </w:divBdr>
                    </w:div>
                    <w:div w:id="929048017">
                      <w:marLeft w:val="0"/>
                      <w:marRight w:val="0"/>
                      <w:marTop w:val="0"/>
                      <w:marBottom w:val="0"/>
                      <w:divBdr>
                        <w:top w:val="none" w:sz="0" w:space="0" w:color="auto"/>
                        <w:left w:val="none" w:sz="0" w:space="0" w:color="auto"/>
                        <w:bottom w:val="none" w:sz="0" w:space="0" w:color="auto"/>
                        <w:right w:val="none" w:sz="0" w:space="0" w:color="auto"/>
                      </w:divBdr>
                    </w:div>
                    <w:div w:id="17291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997149005">
      <w:bodyDiv w:val="1"/>
      <w:marLeft w:val="0"/>
      <w:marRight w:val="0"/>
      <w:marTop w:val="0"/>
      <w:marBottom w:val="0"/>
      <w:divBdr>
        <w:top w:val="none" w:sz="0" w:space="0" w:color="auto"/>
        <w:left w:val="none" w:sz="0" w:space="0" w:color="auto"/>
        <w:bottom w:val="none" w:sz="0" w:space="0" w:color="auto"/>
        <w:right w:val="none" w:sz="0" w:space="0" w:color="auto"/>
      </w:divBdr>
    </w:div>
    <w:div w:id="1060247794">
      <w:bodyDiv w:val="1"/>
      <w:marLeft w:val="0"/>
      <w:marRight w:val="0"/>
      <w:marTop w:val="0"/>
      <w:marBottom w:val="0"/>
      <w:divBdr>
        <w:top w:val="none" w:sz="0" w:space="0" w:color="auto"/>
        <w:left w:val="none" w:sz="0" w:space="0" w:color="auto"/>
        <w:bottom w:val="none" w:sz="0" w:space="0" w:color="auto"/>
        <w:right w:val="none" w:sz="0" w:space="0" w:color="auto"/>
      </w:divBdr>
      <w:divsChild>
        <w:div w:id="1322848192">
          <w:marLeft w:val="0"/>
          <w:marRight w:val="0"/>
          <w:marTop w:val="0"/>
          <w:marBottom w:val="0"/>
          <w:divBdr>
            <w:top w:val="none" w:sz="0" w:space="0" w:color="auto"/>
            <w:left w:val="none" w:sz="0" w:space="0" w:color="auto"/>
            <w:bottom w:val="none" w:sz="0" w:space="0" w:color="auto"/>
            <w:right w:val="none" w:sz="0" w:space="0" w:color="auto"/>
          </w:divBdr>
        </w:div>
      </w:divsChild>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7586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owang@nwu.edu.c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A4B6-7E49-4817-A26F-062ABAC4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1433</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Gina Harlow</cp:lastModifiedBy>
  <cp:revision>40</cp:revision>
  <cp:lastPrinted>2014-09-30T16:49:00Z</cp:lastPrinted>
  <dcterms:created xsi:type="dcterms:W3CDTF">2019-05-17T18:45:00Z</dcterms:created>
  <dcterms:modified xsi:type="dcterms:W3CDTF">2022-04-26T03:36:00Z</dcterms:modified>
</cp:coreProperties>
</file>