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7287"/>
      </w:tblGrid>
      <w:tr w:rsidR="0011477E" w:rsidRPr="00CF7181" w14:paraId="2120CBF6" w14:textId="77777777" w:rsidTr="007B60AE">
        <w:trPr>
          <w:trHeight w:val="58"/>
        </w:trPr>
        <w:tc>
          <w:tcPr>
            <w:tcW w:w="9016" w:type="dxa"/>
            <w:gridSpan w:val="2"/>
          </w:tcPr>
          <w:p w14:paraId="2B095C25" w14:textId="56FD33A1" w:rsidR="0011477E" w:rsidRPr="00CF7181" w:rsidRDefault="00B12FB5" w:rsidP="007B60A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Table S2. </w:t>
            </w:r>
            <w:r w:rsidR="00A42A31" w:rsidRPr="00CF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Eolian</w:t>
            </w:r>
            <w:r w:rsidR="0011477E" w:rsidRPr="00CF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Architectural Element Types</w:t>
            </w:r>
          </w:p>
        </w:tc>
      </w:tr>
      <w:tr w:rsidR="0043269E" w:rsidRPr="00CF7181" w14:paraId="137F539E" w14:textId="77777777" w:rsidTr="007B60AE">
        <w:tc>
          <w:tcPr>
            <w:tcW w:w="1729" w:type="dxa"/>
          </w:tcPr>
          <w:p w14:paraId="023D7204" w14:textId="77777777" w:rsidR="0043269E" w:rsidRPr="00CF7181" w:rsidRDefault="0043269E" w:rsidP="0043269E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F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Architectural Element</w:t>
            </w:r>
          </w:p>
        </w:tc>
        <w:tc>
          <w:tcPr>
            <w:tcW w:w="7287" w:type="dxa"/>
          </w:tcPr>
          <w:p w14:paraId="0A4BA82C" w14:textId="77777777" w:rsidR="0043269E" w:rsidRPr="00CF7181" w:rsidRDefault="0043269E" w:rsidP="0043269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Discrete sedimentary bodies with distinctive sedimentological properties and are the result of deposition in a specific sub-environment (e.g. a dune). Non-</w:t>
            </w:r>
            <w:r w:rsidR="00A42A31"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eolian</w:t>
            </w: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architectural elements (e.g. fluvial channels) are included in the database where they occur interfingered </w:t>
            </w:r>
            <w:r w:rsidR="00A42A31"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eolian</w:t>
            </w: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-dominated deposits.</w:t>
            </w:r>
          </w:p>
        </w:tc>
      </w:tr>
      <w:tr w:rsidR="0011477E" w:rsidRPr="00CF7181" w14:paraId="3A61387E" w14:textId="77777777" w:rsidTr="007B60AE">
        <w:tc>
          <w:tcPr>
            <w:tcW w:w="1729" w:type="dxa"/>
          </w:tcPr>
          <w:p w14:paraId="16B77E47" w14:textId="77777777" w:rsidR="0011477E" w:rsidRPr="00CF7181" w:rsidRDefault="0011477E" w:rsidP="00A42A3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Dune-set </w:t>
            </w:r>
          </w:p>
        </w:tc>
        <w:tc>
          <w:tcPr>
            <w:tcW w:w="7287" w:type="dxa"/>
          </w:tcPr>
          <w:p w14:paraId="187422A1" w14:textId="77777777" w:rsidR="0011477E" w:rsidRPr="00CF7181" w:rsidRDefault="0011477E" w:rsidP="0043269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Dune-sets form the fundamental unit of deposition of an </w:t>
            </w:r>
            <w:r w:rsidR="00A42A31"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eolian</w:t>
            </w: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sand dune; dune-sets are formed of packages of cross-strata; if dune sets migrate over each other, cross-stratified packages are truncated, delineating sets that are bounded by erosional surfaces. </w:t>
            </w:r>
          </w:p>
        </w:tc>
      </w:tr>
      <w:tr w:rsidR="0011477E" w:rsidRPr="00CF7181" w14:paraId="6BF48DD9" w14:textId="77777777" w:rsidTr="007B60AE">
        <w:tc>
          <w:tcPr>
            <w:tcW w:w="1729" w:type="dxa"/>
          </w:tcPr>
          <w:p w14:paraId="3EC10C3C" w14:textId="77777777" w:rsidR="0011477E" w:rsidRPr="00CF7181" w:rsidRDefault="0011477E" w:rsidP="00A42A3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Sandsheet </w:t>
            </w:r>
          </w:p>
        </w:tc>
        <w:tc>
          <w:tcPr>
            <w:tcW w:w="7287" w:type="dxa"/>
          </w:tcPr>
          <w:p w14:paraId="0EFF1C7D" w14:textId="77777777" w:rsidR="0011477E" w:rsidRPr="00CF7181" w:rsidRDefault="0011477E" w:rsidP="0043269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Sandsheet deposits are low-relief accumulations of </w:t>
            </w:r>
            <w:r w:rsidR="00A42A31"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eolian</w:t>
            </w: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sediment in areas where dunes are generally absent; sandsheets can also comprise low-relief bedforms such as </w:t>
            </w:r>
            <w:proofErr w:type="spellStart"/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zibars</w:t>
            </w:r>
            <w:proofErr w:type="spellEnd"/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11477E" w:rsidRPr="00CF7181" w14:paraId="1A3016C1" w14:textId="77777777" w:rsidTr="007B60AE">
        <w:tc>
          <w:tcPr>
            <w:tcW w:w="1729" w:type="dxa"/>
          </w:tcPr>
          <w:p w14:paraId="1FF29EA4" w14:textId="77777777" w:rsidR="0011477E" w:rsidRPr="00CF7181" w:rsidRDefault="0011477E" w:rsidP="00A42A31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Interdune </w:t>
            </w:r>
          </w:p>
        </w:tc>
        <w:tc>
          <w:tcPr>
            <w:tcW w:w="7287" w:type="dxa"/>
          </w:tcPr>
          <w:p w14:paraId="39BCC721" w14:textId="77777777" w:rsidR="0011477E" w:rsidRPr="00CF7181" w:rsidRDefault="0011477E" w:rsidP="007B60A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Interdune deposits are formed in the low-relief, flat, or gently sloping areas between dunes; neighboring dunes are separated by inter</w:t>
            </w:r>
            <w:r w:rsidR="0043269E"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dunes</w:t>
            </w: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CF7181" w:rsidRPr="00CF7181" w14:paraId="2862FD8A" w14:textId="77777777" w:rsidTr="007B60AE">
        <w:tc>
          <w:tcPr>
            <w:tcW w:w="1729" w:type="dxa"/>
          </w:tcPr>
          <w:p w14:paraId="41E5B4D1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Alluvial</w:t>
            </w:r>
          </w:p>
        </w:tc>
        <w:tc>
          <w:tcPr>
            <w:tcW w:w="7287" w:type="dxa"/>
          </w:tcPr>
          <w:p w14:paraId="24569370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Deposits arising from, or relating to the action of streams and sediment gravity-flow processes.</w:t>
            </w:r>
          </w:p>
        </w:tc>
      </w:tr>
      <w:tr w:rsidR="00CF7181" w:rsidRPr="00CF7181" w14:paraId="1E20C2DF" w14:textId="77777777" w:rsidTr="00CF7181">
        <w:tc>
          <w:tcPr>
            <w:tcW w:w="1729" w:type="dxa"/>
          </w:tcPr>
          <w:p w14:paraId="78A56667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Fluvial</w:t>
            </w:r>
          </w:p>
        </w:tc>
        <w:tc>
          <w:tcPr>
            <w:tcW w:w="7287" w:type="dxa"/>
          </w:tcPr>
          <w:p w14:paraId="7C56845C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Deposits arising from or relating to the action of streams and rivers.</w:t>
            </w:r>
          </w:p>
        </w:tc>
      </w:tr>
      <w:tr w:rsidR="00CF7181" w:rsidRPr="00CF7181" w14:paraId="20FA47D0" w14:textId="77777777" w:rsidTr="00CF7181">
        <w:tc>
          <w:tcPr>
            <w:tcW w:w="1729" w:type="dxa"/>
          </w:tcPr>
          <w:p w14:paraId="69E0ABD1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Marine</w:t>
            </w:r>
          </w:p>
        </w:tc>
        <w:tc>
          <w:tcPr>
            <w:tcW w:w="7287" w:type="dxa"/>
          </w:tcPr>
          <w:p w14:paraId="6B2C63B7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Deposits arising from or relating to the action of the sea.</w:t>
            </w:r>
          </w:p>
        </w:tc>
      </w:tr>
      <w:tr w:rsidR="00CF7181" w:rsidRPr="00CF7181" w14:paraId="1990C47B" w14:textId="77777777" w:rsidTr="00CF7181">
        <w:tc>
          <w:tcPr>
            <w:tcW w:w="1729" w:type="dxa"/>
          </w:tcPr>
          <w:p w14:paraId="3CA1B26E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Lacustrine</w:t>
            </w:r>
          </w:p>
        </w:tc>
        <w:tc>
          <w:tcPr>
            <w:tcW w:w="7287" w:type="dxa"/>
          </w:tcPr>
          <w:p w14:paraId="224704D3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Deposits arising from or relating to accumulation in perennial lakes.</w:t>
            </w:r>
          </w:p>
        </w:tc>
      </w:tr>
      <w:tr w:rsidR="00CF7181" w:rsidRPr="00CF7181" w14:paraId="016EFDCA" w14:textId="77777777" w:rsidTr="00CF7181">
        <w:tc>
          <w:tcPr>
            <w:tcW w:w="1729" w:type="dxa"/>
          </w:tcPr>
          <w:p w14:paraId="61CE7481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Sabkha/Playa Lake</w:t>
            </w:r>
          </w:p>
        </w:tc>
        <w:tc>
          <w:tcPr>
            <w:tcW w:w="7287" w:type="dxa"/>
          </w:tcPr>
          <w:p w14:paraId="48586030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Sabkhas and playa lakes describe low-relief flats where evaporites, and in some cases carbonates, accumulate. The terms sabkha and playa lake were originally used to describe coastal and inland </w:t>
            </w:r>
            <w:proofErr w:type="spellStart"/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settings,however</w:t>
            </w:r>
            <w:proofErr w:type="spellEnd"/>
            <w:r w:rsidRPr="00CF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terms are now used interchangeably.</w:t>
            </w:r>
          </w:p>
        </w:tc>
      </w:tr>
      <w:tr w:rsidR="00CF7181" w:rsidRPr="00CF7181" w14:paraId="734DB992" w14:textId="77777777" w:rsidTr="00CF7181">
        <w:tc>
          <w:tcPr>
            <w:tcW w:w="1729" w:type="dxa"/>
          </w:tcPr>
          <w:p w14:paraId="1A0AD486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Paleosol</w:t>
            </w:r>
            <w:proofErr w:type="spellEnd"/>
          </w:p>
        </w:tc>
        <w:tc>
          <w:tcPr>
            <w:tcW w:w="7287" w:type="dxa"/>
          </w:tcPr>
          <w:p w14:paraId="2C87DD9E" w14:textId="77777777" w:rsidR="00CF7181" w:rsidRPr="00CF7181" w:rsidRDefault="00CF7181" w:rsidP="00CF718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F7181">
              <w:rPr>
                <w:rFonts w:ascii="Times New Roman" w:hAnsi="Times New Roman" w:cs="Times New Roman"/>
                <w:sz w:val="20"/>
                <w:szCs w:val="20"/>
              </w:rPr>
              <w:t>Preserved deposits of ancient soils</w:t>
            </w:r>
          </w:p>
        </w:tc>
      </w:tr>
    </w:tbl>
    <w:p w14:paraId="07D4FCF5" w14:textId="77777777" w:rsidR="00496DB1" w:rsidRDefault="00496DB1"/>
    <w:p w14:paraId="10F8F5E2" w14:textId="77777777" w:rsidR="00D3285B" w:rsidRPr="00D3285B" w:rsidRDefault="00D3285B">
      <w:pPr>
        <w:rPr>
          <w:rFonts w:ascii="Times New Roman" w:hAnsi="Times New Roman" w:cs="Times New Roman"/>
        </w:rPr>
      </w:pPr>
      <w:r w:rsidRPr="00D3285B">
        <w:rPr>
          <w:rFonts w:ascii="Times New Roman" w:hAnsi="Times New Roman" w:cs="Times New Roman"/>
        </w:rPr>
        <w:t xml:space="preserve">All of the eolian and associated non-eolian architectural elements discussed in the text. </w:t>
      </w:r>
    </w:p>
    <w:sectPr w:rsidR="00D3285B" w:rsidRPr="00D3285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1BF3" w14:textId="77777777" w:rsidR="00A11558" w:rsidRDefault="00A11558" w:rsidP="00A11558">
      <w:pPr>
        <w:spacing w:after="0" w:line="240" w:lineRule="auto"/>
      </w:pPr>
      <w:r>
        <w:separator/>
      </w:r>
    </w:p>
  </w:endnote>
  <w:endnote w:type="continuationSeparator" w:id="0">
    <w:p w14:paraId="484DFAF7" w14:textId="77777777" w:rsidR="00A11558" w:rsidRDefault="00A11558" w:rsidP="00A1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0031" w14:textId="77777777" w:rsidR="00A11558" w:rsidRDefault="00A11558" w:rsidP="00A11558">
      <w:pPr>
        <w:spacing w:after="0" w:line="240" w:lineRule="auto"/>
      </w:pPr>
      <w:r>
        <w:separator/>
      </w:r>
    </w:p>
  </w:footnote>
  <w:footnote w:type="continuationSeparator" w:id="0">
    <w:p w14:paraId="1207B767" w14:textId="77777777" w:rsidR="00A11558" w:rsidRDefault="00A11558" w:rsidP="00A1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26333" w14:textId="5C9A9F02" w:rsidR="00A11558" w:rsidRPr="002417B6" w:rsidRDefault="00A11558" w:rsidP="00A11558">
    <w:pPr>
      <w:pStyle w:val="Footnote"/>
      <w:rPr>
        <w:sz w:val="20"/>
        <w:szCs w:val="20"/>
      </w:rPr>
    </w:pPr>
    <w:r w:rsidRPr="002417B6">
      <w:rPr>
        <w:sz w:val="20"/>
        <w:szCs w:val="20"/>
      </w:rPr>
      <w:t xml:space="preserve">Cosgrove, G.I.E., </w:t>
    </w:r>
    <w:proofErr w:type="spellStart"/>
    <w:r w:rsidRPr="002417B6">
      <w:rPr>
        <w:sz w:val="20"/>
        <w:szCs w:val="20"/>
      </w:rPr>
      <w:t>Colombera</w:t>
    </w:r>
    <w:proofErr w:type="spellEnd"/>
    <w:r w:rsidRPr="002417B6">
      <w:rPr>
        <w:sz w:val="20"/>
        <w:szCs w:val="20"/>
      </w:rPr>
      <w:t xml:space="preserve">, L., and </w:t>
    </w:r>
    <w:proofErr w:type="spellStart"/>
    <w:r w:rsidRPr="002417B6">
      <w:rPr>
        <w:sz w:val="20"/>
        <w:szCs w:val="20"/>
      </w:rPr>
      <w:t>Mountney</w:t>
    </w:r>
    <w:proofErr w:type="spellEnd"/>
    <w:r w:rsidRPr="002417B6">
      <w:rPr>
        <w:sz w:val="20"/>
        <w:szCs w:val="20"/>
      </w:rPr>
      <w:t>, N.P., 2021, Eolian stratigraphic record of environmental change through geological time: Geology, https://doi.org/10.1130/G49474.1</w:t>
    </w:r>
  </w:p>
  <w:p w14:paraId="4A47B6C2" w14:textId="77777777" w:rsidR="00A11558" w:rsidRDefault="00A11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77E"/>
    <w:rsid w:val="00097BE7"/>
    <w:rsid w:val="000F3998"/>
    <w:rsid w:val="0011477E"/>
    <w:rsid w:val="001A44F0"/>
    <w:rsid w:val="0043269E"/>
    <w:rsid w:val="00496DB1"/>
    <w:rsid w:val="008610C6"/>
    <w:rsid w:val="00914823"/>
    <w:rsid w:val="00A11558"/>
    <w:rsid w:val="00A42A31"/>
    <w:rsid w:val="00B12FB5"/>
    <w:rsid w:val="00CF7181"/>
    <w:rsid w:val="00D3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9352"/>
  <w15:chartTrackingRefBased/>
  <w15:docId w15:val="{BF8A7817-A392-4377-A85B-D237D03A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558"/>
  </w:style>
  <w:style w:type="paragraph" w:styleId="Footer">
    <w:name w:val="footer"/>
    <w:basedOn w:val="Normal"/>
    <w:link w:val="FooterChar"/>
    <w:uiPriority w:val="99"/>
    <w:unhideWhenUsed/>
    <w:rsid w:val="00A11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558"/>
  </w:style>
  <w:style w:type="paragraph" w:customStyle="1" w:styleId="Footnote">
    <w:name w:val="Footnote"/>
    <w:basedOn w:val="Normal"/>
    <w:rsid w:val="00A1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Sedimentology</dc:creator>
  <cp:keywords/>
  <dc:description/>
  <cp:lastModifiedBy>Jennifer Olivarez</cp:lastModifiedBy>
  <cp:revision>6</cp:revision>
  <dcterms:created xsi:type="dcterms:W3CDTF">2021-07-07T14:28:00Z</dcterms:created>
  <dcterms:modified xsi:type="dcterms:W3CDTF">2021-11-04T21:12:00Z</dcterms:modified>
</cp:coreProperties>
</file>