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B29489" w14:textId="0D9F8CA9" w:rsidR="00FF3503" w:rsidRPr="00C067C6" w:rsidRDefault="000B5CD4" w:rsidP="00FF3503">
      <w:pPr>
        <w:spacing w:before="100" w:beforeAutospacing="1" w:after="100" w:afterAutospacing="1"/>
        <w:jc w:val="center"/>
        <w:rPr>
          <w:szCs w:val="24"/>
        </w:rPr>
      </w:pPr>
      <w:r w:rsidRPr="00245DE8">
        <w:t>Brennan</w:t>
      </w:r>
      <w:r>
        <w:t xml:space="preserve">, D.T., et al., 2021, </w:t>
      </w:r>
      <w:r w:rsidRPr="00245DE8">
        <w:t>Recalibrating Rodinian rifting in the northwestern United States</w:t>
      </w:r>
      <w:r>
        <w:t xml:space="preserve">: Geology, </w:t>
      </w:r>
      <w:r w:rsidRPr="00FA6E6A">
        <w:t xml:space="preserve">v. </w:t>
      </w:r>
      <w:r>
        <w:t>49</w:t>
      </w:r>
      <w:r w:rsidRPr="00FA6E6A">
        <w:t>,</w:t>
      </w:r>
      <w:r>
        <w:t xml:space="preserve"> </w:t>
      </w:r>
      <w:r w:rsidRPr="00827376">
        <w:t>https://doi.org</w:t>
      </w:r>
      <w:r>
        <w:t>/10.1130/G48435</w:t>
      </w:r>
      <w:r w:rsidRPr="004F7D7E">
        <w:t>.1</w:t>
      </w:r>
      <w:r w:rsidR="003F3F5B">
        <w:rPr>
          <w:szCs w:val="24"/>
        </w:rPr>
        <w:br/>
      </w:r>
    </w:p>
    <w:p w14:paraId="2776D2EF" w14:textId="77777777" w:rsidR="00C11BF5" w:rsidRDefault="00C11BF5" w:rsidP="00C11BF5">
      <w:pPr>
        <w:pStyle w:val="Arttitle"/>
        <w:spacing w:line="480" w:lineRule="auto"/>
        <w:jc w:val="center"/>
      </w:pPr>
      <w:r>
        <w:t xml:space="preserve">Recalibrating Rodinian rifting in northwestern USA </w:t>
      </w:r>
    </w:p>
    <w:p w14:paraId="1486D07A" w14:textId="77777777" w:rsidR="00C11BF5" w:rsidRDefault="00C11BF5" w:rsidP="00C11BF5">
      <w:pPr>
        <w:pStyle w:val="Arttitle"/>
        <w:spacing w:line="480" w:lineRule="auto"/>
        <w:jc w:val="center"/>
      </w:pPr>
    </w:p>
    <w:p w14:paraId="12F88DE6" w14:textId="16F0E026" w:rsidR="00C11BF5" w:rsidRDefault="00C11BF5" w:rsidP="00C11BF5">
      <w:pPr>
        <w:pStyle w:val="Author"/>
        <w:spacing w:line="480" w:lineRule="auto"/>
        <w:jc w:val="center"/>
        <w:rPr>
          <w:vertAlign w:val="superscript"/>
        </w:rPr>
      </w:pPr>
      <w:r>
        <w:t>Daniel T. Brennan</w:t>
      </w:r>
      <w:r>
        <w:rPr>
          <w:vertAlign w:val="superscript"/>
        </w:rPr>
        <w:t>1*</w:t>
      </w:r>
      <w:r>
        <w:t xml:space="preserve">, </w:t>
      </w:r>
      <w:r w:rsidRPr="00E042CD">
        <w:t>Zheng</w:t>
      </w:r>
      <w:r>
        <w:t>-Xiang Li</w:t>
      </w:r>
      <w:r>
        <w:rPr>
          <w:vertAlign w:val="superscript"/>
        </w:rPr>
        <w:t>1</w:t>
      </w:r>
      <w:r>
        <w:t xml:space="preserve">, Kai </w:t>
      </w:r>
      <w:r w:rsidRPr="00502196">
        <w:t>Rankenburg</w:t>
      </w:r>
      <w:r w:rsidRPr="00502196">
        <w:rPr>
          <w:vertAlign w:val="superscript"/>
        </w:rPr>
        <w:t>2</w:t>
      </w:r>
      <w:r>
        <w:t xml:space="preserve">, </w:t>
      </w:r>
      <w:r w:rsidRPr="00502196">
        <w:t>Noreen</w:t>
      </w:r>
      <w:r>
        <w:t xml:space="preserve"> </w:t>
      </w:r>
      <w:r w:rsidRPr="00E042CD">
        <w:t>Evans</w:t>
      </w:r>
      <w:r>
        <w:rPr>
          <w:vertAlign w:val="superscript"/>
        </w:rPr>
        <w:t>2</w:t>
      </w:r>
      <w:r>
        <w:t>, Paul K. Link</w:t>
      </w:r>
      <w:r>
        <w:rPr>
          <w:vertAlign w:val="superscript"/>
        </w:rPr>
        <w:t>3</w:t>
      </w:r>
      <w:r>
        <w:t xml:space="preserve">, </w:t>
      </w:r>
      <w:r w:rsidRPr="00E042CD">
        <w:t>Adam</w:t>
      </w:r>
      <w:r>
        <w:t xml:space="preserve"> </w:t>
      </w:r>
      <w:r w:rsidR="007C39AF">
        <w:t xml:space="preserve">R. </w:t>
      </w:r>
      <w:r>
        <w:t>Nordsvan</w:t>
      </w:r>
      <w:r>
        <w:rPr>
          <w:vertAlign w:val="superscript"/>
        </w:rPr>
        <w:t>4,1</w:t>
      </w:r>
      <w:r>
        <w:t xml:space="preserve">, </w:t>
      </w:r>
      <w:r w:rsidRPr="002E2A43">
        <w:rPr>
          <w:bCs/>
        </w:rPr>
        <w:t>Chris</w:t>
      </w:r>
      <w:r>
        <w:rPr>
          <w:bCs/>
        </w:rPr>
        <w:t>topher L.</w:t>
      </w:r>
      <w:r w:rsidRPr="002E2A43">
        <w:rPr>
          <w:bCs/>
        </w:rPr>
        <w:t xml:space="preserve"> Kirkland</w:t>
      </w:r>
      <w:r>
        <w:rPr>
          <w:bCs/>
          <w:vertAlign w:val="superscript"/>
        </w:rPr>
        <w:t>5</w:t>
      </w:r>
      <w:r>
        <w:rPr>
          <w:b w:val="0"/>
          <w:bCs/>
        </w:rPr>
        <w:t>,</w:t>
      </w:r>
      <w:r w:rsidRPr="004A4738">
        <w:t xml:space="preserve"> </w:t>
      </w:r>
      <w:r>
        <w:t>J. Brian Mahoney</w:t>
      </w:r>
      <w:r w:rsidRPr="007F6A83">
        <w:rPr>
          <w:vertAlign w:val="superscript"/>
        </w:rPr>
        <w:t>6</w:t>
      </w:r>
      <w:r>
        <w:t>, Tim Johnson</w:t>
      </w:r>
      <w:r w:rsidRPr="00BE72A8">
        <w:rPr>
          <w:vertAlign w:val="superscript"/>
        </w:rPr>
        <w:t>5</w:t>
      </w:r>
      <w:r>
        <w:t>,</w:t>
      </w:r>
      <w:r>
        <w:rPr>
          <w:b w:val="0"/>
          <w:bCs/>
        </w:rPr>
        <w:t xml:space="preserve"> </w:t>
      </w:r>
      <w:r w:rsidRPr="00A54EA6">
        <w:t xml:space="preserve">Bradley </w:t>
      </w:r>
      <w:r>
        <w:t xml:space="preserve">J. </w:t>
      </w:r>
      <w:r w:rsidRPr="000613FC">
        <w:t>McDonald</w:t>
      </w:r>
      <w:r>
        <w:rPr>
          <w:vertAlign w:val="superscript"/>
        </w:rPr>
        <w:t>2</w:t>
      </w:r>
      <w:r w:rsidRPr="00EC2ADA">
        <w:rPr>
          <w:bCs/>
        </w:rPr>
        <w:t xml:space="preserve"> </w:t>
      </w:r>
    </w:p>
    <w:p w14:paraId="64685F28" w14:textId="77777777" w:rsidR="00C11BF5" w:rsidRPr="00533427" w:rsidRDefault="00C11BF5" w:rsidP="00C11BF5">
      <w:pPr>
        <w:pStyle w:val="Author"/>
        <w:spacing w:line="480" w:lineRule="auto"/>
        <w:jc w:val="center"/>
        <w:rPr>
          <w:bCs/>
        </w:rPr>
      </w:pPr>
    </w:p>
    <w:p w14:paraId="131780FD" w14:textId="77777777" w:rsidR="00C11BF5" w:rsidRDefault="00C11BF5" w:rsidP="00C11BF5">
      <w:pPr>
        <w:pStyle w:val="AuthorAffiliation"/>
        <w:spacing w:line="480" w:lineRule="auto"/>
        <w:jc w:val="center"/>
      </w:pPr>
      <w:r>
        <w:rPr>
          <w:vertAlign w:val="superscript"/>
        </w:rPr>
        <w:t>1</w:t>
      </w:r>
      <w:r w:rsidRPr="00E14306">
        <w:t>Earth Dynamics Research Group, School of Earth and Planetary Sciences, Curtin University, GPO Box U1987, WA 6845, Australia</w:t>
      </w:r>
    </w:p>
    <w:p w14:paraId="07BC1C44" w14:textId="552E391D" w:rsidR="00C11BF5" w:rsidRDefault="00C11BF5" w:rsidP="00C11BF5">
      <w:pPr>
        <w:pStyle w:val="AuthorAffiliation"/>
        <w:spacing w:line="480" w:lineRule="auto"/>
        <w:jc w:val="center"/>
        <w:rPr>
          <w:vertAlign w:val="superscript"/>
        </w:rPr>
      </w:pPr>
      <w:r>
        <w:rPr>
          <w:vertAlign w:val="superscript"/>
        </w:rPr>
        <w:t>2</w:t>
      </w:r>
      <w:r>
        <w:t>School of Earth and Planetary Science</w:t>
      </w:r>
      <w:r w:rsidR="0076648A">
        <w:t>s</w:t>
      </w:r>
      <w:r>
        <w:t>, John de Laeter Centre, Curtin University, Bentley, Western Australia, Australia</w:t>
      </w:r>
    </w:p>
    <w:p w14:paraId="56951293" w14:textId="77777777" w:rsidR="00C11BF5" w:rsidRDefault="00C11BF5" w:rsidP="00C11BF5">
      <w:pPr>
        <w:pStyle w:val="AuthorAffiliation"/>
        <w:spacing w:line="480" w:lineRule="auto"/>
        <w:jc w:val="center"/>
      </w:pPr>
      <w:r>
        <w:rPr>
          <w:vertAlign w:val="superscript"/>
        </w:rPr>
        <w:t>3</w:t>
      </w:r>
      <w:r w:rsidRPr="00170186">
        <w:t>Department of Geosciences, Idaho State University,</w:t>
      </w:r>
      <w:r>
        <w:t xml:space="preserve"> Pocatello, ID, USA</w:t>
      </w:r>
    </w:p>
    <w:p w14:paraId="2FF6823F" w14:textId="77777777" w:rsidR="00C11BF5" w:rsidRDefault="00C11BF5" w:rsidP="00C11BF5">
      <w:pPr>
        <w:pStyle w:val="AuthorAffiliation"/>
        <w:spacing w:line="480" w:lineRule="auto"/>
        <w:contextualSpacing/>
        <w:jc w:val="center"/>
      </w:pPr>
      <w:r w:rsidRPr="00332880">
        <w:rPr>
          <w:vertAlign w:val="superscript"/>
        </w:rPr>
        <w:t>4</w:t>
      </w:r>
      <w:r w:rsidRPr="00332880">
        <w:t>Department of Earth Sciences, University of</w:t>
      </w:r>
      <w:r>
        <w:t xml:space="preserve"> Hong Kong, Pokfulam, Hong Kong</w:t>
      </w:r>
    </w:p>
    <w:p w14:paraId="1EEF737F" w14:textId="77777777" w:rsidR="00C11BF5" w:rsidRDefault="00C11BF5" w:rsidP="00C11BF5">
      <w:pPr>
        <w:pStyle w:val="AuthorAffiliation"/>
        <w:spacing w:line="480" w:lineRule="auto"/>
        <w:contextualSpacing/>
        <w:jc w:val="center"/>
      </w:pPr>
      <w:r w:rsidRPr="00BE72A8">
        <w:rPr>
          <w:vertAlign w:val="superscript"/>
        </w:rPr>
        <w:t>5</w:t>
      </w:r>
      <w:r w:rsidRPr="00BE72A8">
        <w:t xml:space="preserve">School of Earth and Planetary Sciences, The Institute for Geoscience Research (TIGeR), Curtin University, </w:t>
      </w:r>
      <w:r>
        <w:t xml:space="preserve">WA, </w:t>
      </w:r>
      <w:r w:rsidRPr="00BE72A8">
        <w:t>Australia</w:t>
      </w:r>
    </w:p>
    <w:p w14:paraId="632E82FC" w14:textId="77777777" w:rsidR="00C11BF5" w:rsidRDefault="00C11BF5" w:rsidP="00C11BF5">
      <w:pPr>
        <w:pStyle w:val="AuthorAffiliation"/>
        <w:spacing w:line="480" w:lineRule="auto"/>
        <w:jc w:val="center"/>
      </w:pPr>
      <w:r>
        <w:rPr>
          <w:vertAlign w:val="superscript"/>
        </w:rPr>
        <w:t>6</w:t>
      </w:r>
      <w:r>
        <w:t>Department of Geology, University of Wisconsin–Eau Claire, Eau Claire WI, USA</w:t>
      </w:r>
    </w:p>
    <w:p w14:paraId="0A63F210" w14:textId="77777777" w:rsidR="00C11BF5" w:rsidRDefault="00C11BF5" w:rsidP="00C11BF5">
      <w:pPr>
        <w:pStyle w:val="AuthorAffiliation"/>
        <w:spacing w:line="480" w:lineRule="auto"/>
        <w:jc w:val="center"/>
      </w:pPr>
    </w:p>
    <w:p w14:paraId="374A1499" w14:textId="77777777" w:rsidR="00C11BF5" w:rsidRDefault="00C11BF5" w:rsidP="00C11BF5">
      <w:pPr>
        <w:pStyle w:val="AuthorAffiliation"/>
        <w:spacing w:line="480" w:lineRule="auto"/>
        <w:jc w:val="center"/>
      </w:pPr>
    </w:p>
    <w:p w14:paraId="300501AF" w14:textId="77777777" w:rsidR="00C11BF5" w:rsidRDefault="00C11BF5" w:rsidP="00C11BF5">
      <w:pPr>
        <w:pStyle w:val="AuthorAffiliation"/>
        <w:spacing w:line="480" w:lineRule="auto"/>
        <w:jc w:val="center"/>
      </w:pPr>
      <w:r>
        <w:t xml:space="preserve">*corresponding author: </w:t>
      </w:r>
      <w:hyperlink r:id="rId7" w:history="1">
        <w:r w:rsidRPr="00761512">
          <w:rPr>
            <w:rStyle w:val="Hyperlink"/>
          </w:rPr>
          <w:t>daniel.brennan1@postgrad.curtin.edu.au</w:t>
        </w:r>
      </w:hyperlink>
    </w:p>
    <w:p w14:paraId="3C59F679" w14:textId="77777777" w:rsidR="00C11BF5" w:rsidRDefault="00C11BF5" w:rsidP="009F2BAB">
      <w:pPr>
        <w:jc w:val="center"/>
        <w:rPr>
          <w:rFonts w:ascii="Myriad Pro" w:hAnsi="Myriad Pro"/>
          <w:b/>
        </w:rPr>
      </w:pPr>
    </w:p>
    <w:p w14:paraId="1EC00F88" w14:textId="6A1ED839" w:rsidR="003F3F5B" w:rsidRDefault="003F3F5B" w:rsidP="009F2BAB">
      <w:pPr>
        <w:jc w:val="center"/>
        <w:rPr>
          <w:rFonts w:ascii="Myriad Pro" w:hAnsi="Myriad Pro"/>
          <w:b/>
        </w:rPr>
      </w:pPr>
      <w:r>
        <w:rPr>
          <w:rFonts w:ascii="Myriad Pro" w:hAnsi="Myriad Pro"/>
          <w:b/>
        </w:rPr>
        <w:t xml:space="preserve">Supporting Information </w:t>
      </w:r>
      <w:r w:rsidR="009F2BAB">
        <w:rPr>
          <w:rFonts w:ascii="Myriad Pro" w:hAnsi="Myriad Pro"/>
          <w:b/>
        </w:rPr>
        <w:t>Table of Contents</w:t>
      </w:r>
      <w:r w:rsidR="001C0FBC">
        <w:rPr>
          <w:rFonts w:ascii="Myriad Pro" w:hAnsi="Myriad Pro"/>
          <w:b/>
        </w:rPr>
        <w:br/>
      </w:r>
    </w:p>
    <w:p w14:paraId="0C3A9D0E" w14:textId="60137570" w:rsidR="009F2BAB" w:rsidRDefault="001C0FBC" w:rsidP="00554BE4">
      <w:pPr>
        <w:jc w:val="right"/>
        <w:rPr>
          <w:rFonts w:ascii="Myriad Pro" w:hAnsi="Myriad Pro"/>
          <w:b/>
          <w:u w:val="single"/>
        </w:rPr>
      </w:pPr>
      <w:r w:rsidRPr="001C0FBC">
        <w:rPr>
          <w:rFonts w:ascii="Myriad Pro" w:hAnsi="Myriad Pro"/>
          <w:b/>
          <w:u w:val="single"/>
        </w:rPr>
        <w:lastRenderedPageBreak/>
        <w:t>Page</w:t>
      </w:r>
      <w:r w:rsidR="009F2BAB">
        <w:rPr>
          <w:b/>
        </w:rPr>
        <w:br/>
      </w:r>
    </w:p>
    <w:p w14:paraId="25F0982B" w14:textId="40CBD986" w:rsidR="00C3077A" w:rsidRDefault="00C3077A" w:rsidP="00C3077A">
      <w:pPr>
        <w:rPr>
          <w:b/>
          <w:bCs/>
          <w:color w:val="000000" w:themeColor="text1"/>
          <w:szCs w:val="24"/>
        </w:rPr>
      </w:pPr>
      <w:r>
        <w:rPr>
          <w:b/>
          <w:bCs/>
          <w:color w:val="000000" w:themeColor="text1"/>
          <w:szCs w:val="24"/>
        </w:rPr>
        <w:t>Additional field and stratigraphic results</w:t>
      </w:r>
      <w:r w:rsidRPr="00C3077A">
        <w:rPr>
          <w:bCs/>
          <w:color w:val="000000" w:themeColor="text1"/>
          <w:szCs w:val="24"/>
        </w:rPr>
        <w:t>……………………………………</w:t>
      </w:r>
      <w:r w:rsidR="00B27292">
        <w:rPr>
          <w:bCs/>
          <w:color w:val="000000" w:themeColor="text1"/>
          <w:szCs w:val="24"/>
        </w:rPr>
        <w:t xml:space="preserve">......     </w:t>
      </w:r>
      <w:r w:rsidR="00BE3868">
        <w:rPr>
          <w:b/>
          <w:bCs/>
          <w:color w:val="000000" w:themeColor="text1"/>
          <w:szCs w:val="24"/>
        </w:rPr>
        <w:t>3</w:t>
      </w:r>
      <w:r>
        <w:rPr>
          <w:b/>
          <w:bCs/>
          <w:color w:val="000000" w:themeColor="text1"/>
          <w:szCs w:val="24"/>
        </w:rPr>
        <w:t xml:space="preserve"> </w:t>
      </w:r>
    </w:p>
    <w:p w14:paraId="05E12F6B" w14:textId="7A55F0DF" w:rsidR="00B27292" w:rsidRDefault="00B27292" w:rsidP="00B27292">
      <w:pPr>
        <w:ind w:firstLine="720"/>
        <w:rPr>
          <w:bCs/>
          <w:color w:val="000000" w:themeColor="text1"/>
          <w:szCs w:val="24"/>
        </w:rPr>
      </w:pPr>
      <w:r>
        <w:rPr>
          <w:b/>
          <w:bCs/>
          <w:color w:val="000000" w:themeColor="text1"/>
          <w:szCs w:val="24"/>
        </w:rPr>
        <w:t>Figure</w:t>
      </w:r>
      <w:r w:rsidRPr="001C0FBC">
        <w:rPr>
          <w:b/>
          <w:bCs/>
          <w:color w:val="000000" w:themeColor="text1"/>
          <w:szCs w:val="24"/>
        </w:rPr>
        <w:t xml:space="preserve"> S</w:t>
      </w:r>
      <w:r>
        <w:rPr>
          <w:b/>
          <w:bCs/>
          <w:color w:val="000000" w:themeColor="text1"/>
          <w:szCs w:val="24"/>
        </w:rPr>
        <w:t>1</w:t>
      </w:r>
      <w:r>
        <w:rPr>
          <w:bCs/>
          <w:color w:val="000000" w:themeColor="text1"/>
          <w:szCs w:val="24"/>
        </w:rPr>
        <w:t xml:space="preserve">: </w:t>
      </w:r>
      <w:r w:rsidRPr="008470CE">
        <w:rPr>
          <w:bCs/>
          <w:i/>
          <w:color w:val="000000" w:themeColor="text1"/>
          <w:szCs w:val="24"/>
        </w:rPr>
        <w:t>Buffalo Hump field photos</w:t>
      </w:r>
      <w:r>
        <w:rPr>
          <w:bCs/>
          <w:color w:val="000000" w:themeColor="text1"/>
          <w:szCs w:val="24"/>
        </w:rPr>
        <w:t>……...</w:t>
      </w:r>
      <w:r>
        <w:rPr>
          <w:bCs/>
          <w:i/>
          <w:color w:val="000000" w:themeColor="text1"/>
          <w:szCs w:val="24"/>
        </w:rPr>
        <w:t>…..</w:t>
      </w:r>
      <w:r>
        <w:rPr>
          <w:bCs/>
          <w:color w:val="000000" w:themeColor="text1"/>
          <w:szCs w:val="24"/>
        </w:rPr>
        <w:t xml:space="preserve">…………………………..     </w:t>
      </w:r>
      <w:r w:rsidR="00BE3868">
        <w:rPr>
          <w:bCs/>
          <w:color w:val="000000" w:themeColor="text1"/>
          <w:szCs w:val="24"/>
        </w:rPr>
        <w:t>3</w:t>
      </w:r>
    </w:p>
    <w:p w14:paraId="6085C7EC" w14:textId="17C7E04C" w:rsidR="00B27292" w:rsidRDefault="00B27292" w:rsidP="00B27292">
      <w:pPr>
        <w:ind w:firstLine="720"/>
        <w:rPr>
          <w:bCs/>
          <w:color w:val="000000" w:themeColor="text1"/>
          <w:szCs w:val="24"/>
        </w:rPr>
      </w:pPr>
      <w:r>
        <w:rPr>
          <w:b/>
          <w:bCs/>
          <w:color w:val="000000" w:themeColor="text1"/>
          <w:szCs w:val="24"/>
        </w:rPr>
        <w:t>Figure</w:t>
      </w:r>
      <w:r w:rsidRPr="001C0FBC">
        <w:rPr>
          <w:b/>
          <w:bCs/>
          <w:color w:val="000000" w:themeColor="text1"/>
          <w:szCs w:val="24"/>
        </w:rPr>
        <w:t xml:space="preserve"> S</w:t>
      </w:r>
      <w:r>
        <w:rPr>
          <w:b/>
          <w:bCs/>
          <w:color w:val="000000" w:themeColor="text1"/>
          <w:szCs w:val="24"/>
        </w:rPr>
        <w:t>2</w:t>
      </w:r>
      <w:r>
        <w:rPr>
          <w:bCs/>
          <w:color w:val="000000" w:themeColor="text1"/>
          <w:szCs w:val="24"/>
        </w:rPr>
        <w:t xml:space="preserve">: </w:t>
      </w:r>
      <w:r w:rsidRPr="008470CE">
        <w:rPr>
          <w:bCs/>
          <w:i/>
          <w:color w:val="000000" w:themeColor="text1"/>
          <w:szCs w:val="24"/>
        </w:rPr>
        <w:t>Buffalo Hump measured stratigraphic section 1</w:t>
      </w:r>
      <w:r>
        <w:rPr>
          <w:bCs/>
          <w:color w:val="000000" w:themeColor="text1"/>
          <w:szCs w:val="24"/>
        </w:rPr>
        <w:t>……………….</w:t>
      </w:r>
      <w:r w:rsidR="00BE3868">
        <w:rPr>
          <w:bCs/>
          <w:color w:val="000000" w:themeColor="text1"/>
          <w:szCs w:val="24"/>
        </w:rPr>
        <w:t xml:space="preserve">.   </w:t>
      </w:r>
      <w:r>
        <w:rPr>
          <w:bCs/>
          <w:color w:val="000000" w:themeColor="text1"/>
          <w:szCs w:val="24"/>
        </w:rPr>
        <w:t xml:space="preserve"> </w:t>
      </w:r>
      <w:r w:rsidR="00BE3868">
        <w:rPr>
          <w:bCs/>
          <w:color w:val="000000" w:themeColor="text1"/>
          <w:szCs w:val="24"/>
        </w:rPr>
        <w:t>4</w:t>
      </w:r>
    </w:p>
    <w:p w14:paraId="10190061" w14:textId="2B8E8560" w:rsidR="00B27292" w:rsidRDefault="00B27292" w:rsidP="00B27292">
      <w:pPr>
        <w:ind w:firstLine="720"/>
        <w:rPr>
          <w:bCs/>
          <w:color w:val="000000" w:themeColor="text1"/>
          <w:szCs w:val="24"/>
        </w:rPr>
      </w:pPr>
      <w:r>
        <w:rPr>
          <w:b/>
          <w:bCs/>
          <w:color w:val="000000" w:themeColor="text1"/>
          <w:szCs w:val="24"/>
        </w:rPr>
        <w:t>Figure</w:t>
      </w:r>
      <w:r w:rsidRPr="001C0FBC">
        <w:rPr>
          <w:b/>
          <w:bCs/>
          <w:color w:val="000000" w:themeColor="text1"/>
          <w:szCs w:val="24"/>
        </w:rPr>
        <w:t xml:space="preserve"> S</w:t>
      </w:r>
      <w:r w:rsidR="008D63EC">
        <w:rPr>
          <w:b/>
          <w:bCs/>
          <w:color w:val="000000" w:themeColor="text1"/>
          <w:szCs w:val="24"/>
        </w:rPr>
        <w:t>3</w:t>
      </w:r>
      <w:r>
        <w:rPr>
          <w:bCs/>
          <w:color w:val="000000" w:themeColor="text1"/>
          <w:szCs w:val="24"/>
        </w:rPr>
        <w:t xml:space="preserve">: </w:t>
      </w:r>
      <w:r w:rsidRPr="008470CE">
        <w:rPr>
          <w:bCs/>
          <w:i/>
          <w:color w:val="000000" w:themeColor="text1"/>
          <w:szCs w:val="24"/>
        </w:rPr>
        <w:t>Buffalo Hump measured stratigraphic section 2</w:t>
      </w:r>
      <w:r>
        <w:rPr>
          <w:bCs/>
          <w:color w:val="000000" w:themeColor="text1"/>
          <w:szCs w:val="24"/>
        </w:rPr>
        <w:t>……………….</w:t>
      </w:r>
      <w:r w:rsidR="00BE3868">
        <w:rPr>
          <w:bCs/>
          <w:color w:val="000000" w:themeColor="text1"/>
          <w:szCs w:val="24"/>
        </w:rPr>
        <w:t>.    5</w:t>
      </w:r>
    </w:p>
    <w:p w14:paraId="32237A83" w14:textId="05580274" w:rsidR="00B27292" w:rsidRDefault="00B27292" w:rsidP="00B27292">
      <w:pPr>
        <w:ind w:firstLine="720"/>
        <w:rPr>
          <w:bCs/>
          <w:color w:val="000000" w:themeColor="text1"/>
          <w:szCs w:val="24"/>
        </w:rPr>
      </w:pPr>
      <w:r>
        <w:rPr>
          <w:b/>
          <w:bCs/>
          <w:color w:val="000000" w:themeColor="text1"/>
          <w:szCs w:val="24"/>
        </w:rPr>
        <w:t>Figure</w:t>
      </w:r>
      <w:r w:rsidRPr="001C0FBC">
        <w:rPr>
          <w:b/>
          <w:bCs/>
          <w:color w:val="000000" w:themeColor="text1"/>
          <w:szCs w:val="24"/>
        </w:rPr>
        <w:t xml:space="preserve"> S</w:t>
      </w:r>
      <w:r w:rsidR="008D63EC">
        <w:rPr>
          <w:b/>
          <w:bCs/>
          <w:color w:val="000000" w:themeColor="text1"/>
          <w:szCs w:val="24"/>
        </w:rPr>
        <w:t>4</w:t>
      </w:r>
      <w:r>
        <w:rPr>
          <w:bCs/>
          <w:color w:val="000000" w:themeColor="text1"/>
          <w:szCs w:val="24"/>
        </w:rPr>
        <w:t xml:space="preserve">: </w:t>
      </w:r>
      <w:r w:rsidRPr="008470CE">
        <w:rPr>
          <w:bCs/>
          <w:i/>
          <w:color w:val="000000" w:themeColor="text1"/>
          <w:szCs w:val="24"/>
        </w:rPr>
        <w:t xml:space="preserve">Buffalo Hump </w:t>
      </w:r>
      <w:r w:rsidR="008D63EC" w:rsidRPr="008470CE">
        <w:rPr>
          <w:bCs/>
          <w:i/>
          <w:color w:val="000000" w:themeColor="text1"/>
          <w:szCs w:val="24"/>
        </w:rPr>
        <w:t>preferred sequence stratigraphy model</w:t>
      </w:r>
      <w:r w:rsidR="008D63EC">
        <w:rPr>
          <w:bCs/>
          <w:color w:val="000000" w:themeColor="text1"/>
          <w:szCs w:val="24"/>
        </w:rPr>
        <w:t>..………..</w:t>
      </w:r>
      <w:r w:rsidR="00BE3868">
        <w:rPr>
          <w:bCs/>
          <w:color w:val="000000" w:themeColor="text1"/>
          <w:szCs w:val="24"/>
        </w:rPr>
        <w:t xml:space="preserve">     6</w:t>
      </w:r>
    </w:p>
    <w:p w14:paraId="7BBC6531" w14:textId="6673CFDD" w:rsidR="00B27292" w:rsidRPr="006132FB" w:rsidRDefault="00B27292" w:rsidP="00B27292">
      <w:pPr>
        <w:ind w:firstLine="720"/>
        <w:rPr>
          <w:b/>
          <w:bCs/>
          <w:color w:val="000000" w:themeColor="text1"/>
          <w:szCs w:val="24"/>
        </w:rPr>
      </w:pPr>
      <w:r>
        <w:rPr>
          <w:b/>
          <w:bCs/>
          <w:color w:val="000000" w:themeColor="text1"/>
          <w:szCs w:val="24"/>
        </w:rPr>
        <w:t>Figure</w:t>
      </w:r>
      <w:r w:rsidRPr="001C0FBC">
        <w:rPr>
          <w:b/>
          <w:bCs/>
          <w:color w:val="000000" w:themeColor="text1"/>
          <w:szCs w:val="24"/>
        </w:rPr>
        <w:t xml:space="preserve"> S</w:t>
      </w:r>
      <w:r w:rsidR="008D63EC">
        <w:rPr>
          <w:b/>
          <w:bCs/>
          <w:color w:val="000000" w:themeColor="text1"/>
          <w:szCs w:val="24"/>
        </w:rPr>
        <w:t>5</w:t>
      </w:r>
      <w:r>
        <w:rPr>
          <w:bCs/>
          <w:color w:val="000000" w:themeColor="text1"/>
          <w:szCs w:val="24"/>
        </w:rPr>
        <w:t xml:space="preserve">: </w:t>
      </w:r>
      <w:r w:rsidRPr="008470CE">
        <w:rPr>
          <w:bCs/>
          <w:i/>
          <w:color w:val="000000" w:themeColor="text1"/>
          <w:szCs w:val="24"/>
        </w:rPr>
        <w:t>Buffalo Hump</w:t>
      </w:r>
      <w:r w:rsidR="008D63EC" w:rsidRPr="008470CE">
        <w:rPr>
          <w:bCs/>
          <w:i/>
          <w:color w:val="000000" w:themeColor="text1"/>
          <w:szCs w:val="24"/>
        </w:rPr>
        <w:t xml:space="preserve"> preferred</w:t>
      </w:r>
      <w:r w:rsidRPr="008470CE">
        <w:rPr>
          <w:bCs/>
          <w:i/>
          <w:color w:val="000000" w:themeColor="text1"/>
          <w:szCs w:val="24"/>
        </w:rPr>
        <w:t xml:space="preserve"> </w:t>
      </w:r>
      <w:r w:rsidR="008D63EC" w:rsidRPr="008470CE">
        <w:rPr>
          <w:bCs/>
          <w:i/>
          <w:color w:val="000000" w:themeColor="text1"/>
          <w:szCs w:val="24"/>
        </w:rPr>
        <w:t>basin model</w:t>
      </w:r>
      <w:r w:rsidR="008D63EC">
        <w:rPr>
          <w:bCs/>
          <w:color w:val="000000" w:themeColor="text1"/>
          <w:szCs w:val="24"/>
        </w:rPr>
        <w:t>……</w:t>
      </w:r>
      <w:r>
        <w:rPr>
          <w:bCs/>
          <w:color w:val="000000" w:themeColor="text1"/>
          <w:szCs w:val="24"/>
        </w:rPr>
        <w:t>……...</w:t>
      </w:r>
      <w:r>
        <w:rPr>
          <w:bCs/>
          <w:i/>
          <w:color w:val="000000" w:themeColor="text1"/>
          <w:szCs w:val="24"/>
        </w:rPr>
        <w:t>…..</w:t>
      </w:r>
      <w:r w:rsidR="008D63EC">
        <w:rPr>
          <w:bCs/>
          <w:color w:val="000000" w:themeColor="text1"/>
          <w:szCs w:val="24"/>
        </w:rPr>
        <w:t>……………</w:t>
      </w:r>
      <w:r>
        <w:rPr>
          <w:bCs/>
          <w:color w:val="000000" w:themeColor="text1"/>
          <w:szCs w:val="24"/>
        </w:rPr>
        <w:t xml:space="preserve">   </w:t>
      </w:r>
      <w:r w:rsidR="00BE3868">
        <w:rPr>
          <w:bCs/>
          <w:color w:val="000000" w:themeColor="text1"/>
          <w:szCs w:val="24"/>
        </w:rPr>
        <w:t>7</w:t>
      </w:r>
    </w:p>
    <w:p w14:paraId="0582F8AC" w14:textId="77777777" w:rsidR="00B27292" w:rsidRDefault="00B27292" w:rsidP="00B27292">
      <w:pPr>
        <w:rPr>
          <w:b/>
          <w:bCs/>
          <w:color w:val="000000" w:themeColor="text1"/>
          <w:szCs w:val="24"/>
        </w:rPr>
      </w:pPr>
    </w:p>
    <w:p w14:paraId="04595F87" w14:textId="7E3686B6" w:rsidR="00C3077A" w:rsidRDefault="00C3077A" w:rsidP="00C3077A">
      <w:pPr>
        <w:rPr>
          <w:bCs/>
          <w:color w:val="000000" w:themeColor="text1"/>
          <w:szCs w:val="24"/>
        </w:rPr>
      </w:pPr>
      <w:r>
        <w:rPr>
          <w:b/>
          <w:bCs/>
          <w:color w:val="000000" w:themeColor="text1"/>
          <w:szCs w:val="24"/>
        </w:rPr>
        <w:t xml:space="preserve">Paleocurrent measurements methodology and results </w:t>
      </w:r>
      <w:r w:rsidR="0046239B">
        <w:rPr>
          <w:b/>
          <w:bCs/>
          <w:color w:val="000000" w:themeColor="text1"/>
          <w:szCs w:val="24"/>
        </w:rPr>
        <w:t>…………...</w:t>
      </w:r>
      <w:r>
        <w:rPr>
          <w:bCs/>
          <w:color w:val="000000" w:themeColor="text1"/>
          <w:szCs w:val="24"/>
        </w:rPr>
        <w:t>……………...</w:t>
      </w:r>
      <w:r w:rsidR="00B27292">
        <w:rPr>
          <w:bCs/>
          <w:color w:val="000000" w:themeColor="text1"/>
          <w:szCs w:val="24"/>
        </w:rPr>
        <w:t xml:space="preserve">    </w:t>
      </w:r>
      <w:r w:rsidR="00881495">
        <w:rPr>
          <w:bCs/>
          <w:color w:val="000000" w:themeColor="text1"/>
          <w:szCs w:val="24"/>
        </w:rPr>
        <w:t>8</w:t>
      </w:r>
      <w:r>
        <w:rPr>
          <w:bCs/>
          <w:color w:val="000000" w:themeColor="text1"/>
          <w:szCs w:val="24"/>
        </w:rPr>
        <w:t xml:space="preserve"> </w:t>
      </w:r>
    </w:p>
    <w:p w14:paraId="73B25E42" w14:textId="741CE010" w:rsidR="00C3077A" w:rsidRPr="006132FB" w:rsidRDefault="00C3077A" w:rsidP="00C3077A">
      <w:pPr>
        <w:ind w:firstLine="720"/>
        <w:rPr>
          <w:b/>
          <w:bCs/>
          <w:color w:val="000000" w:themeColor="text1"/>
          <w:szCs w:val="24"/>
        </w:rPr>
      </w:pPr>
      <w:r w:rsidRPr="001C0FBC">
        <w:rPr>
          <w:b/>
          <w:bCs/>
          <w:color w:val="000000" w:themeColor="text1"/>
          <w:szCs w:val="24"/>
        </w:rPr>
        <w:t>Table S</w:t>
      </w:r>
      <w:r w:rsidR="008D63EC">
        <w:rPr>
          <w:b/>
          <w:bCs/>
          <w:color w:val="000000" w:themeColor="text1"/>
          <w:szCs w:val="24"/>
        </w:rPr>
        <w:t>1</w:t>
      </w:r>
      <w:r>
        <w:rPr>
          <w:bCs/>
          <w:color w:val="000000" w:themeColor="text1"/>
          <w:szCs w:val="24"/>
        </w:rPr>
        <w:t xml:space="preserve">: </w:t>
      </w:r>
      <w:r w:rsidRPr="008470CE">
        <w:rPr>
          <w:bCs/>
          <w:i/>
          <w:color w:val="000000" w:themeColor="text1"/>
          <w:szCs w:val="24"/>
        </w:rPr>
        <w:t>Paleocurrent measurement</w:t>
      </w:r>
      <w:r>
        <w:rPr>
          <w:bCs/>
          <w:i/>
          <w:color w:val="000000" w:themeColor="text1"/>
          <w:szCs w:val="24"/>
        </w:rPr>
        <w:t xml:space="preserve"> results…..</w:t>
      </w:r>
      <w:r>
        <w:rPr>
          <w:bCs/>
          <w:color w:val="000000" w:themeColor="text1"/>
          <w:szCs w:val="24"/>
        </w:rPr>
        <w:t>………………………….</w:t>
      </w:r>
      <w:r w:rsidR="00B27292">
        <w:rPr>
          <w:bCs/>
          <w:color w:val="000000" w:themeColor="text1"/>
          <w:szCs w:val="24"/>
        </w:rPr>
        <w:t xml:space="preserve">.      </w:t>
      </w:r>
      <w:r w:rsidR="00881495">
        <w:rPr>
          <w:bCs/>
          <w:color w:val="000000" w:themeColor="text1"/>
          <w:szCs w:val="24"/>
        </w:rPr>
        <w:t>8</w:t>
      </w:r>
    </w:p>
    <w:p w14:paraId="658D3CA0" w14:textId="77777777" w:rsidR="00C3077A" w:rsidRPr="00554BE4" w:rsidRDefault="00C3077A" w:rsidP="00554BE4">
      <w:pPr>
        <w:jc w:val="right"/>
        <w:rPr>
          <w:rFonts w:ascii="Myriad Pro" w:hAnsi="Myriad Pro"/>
          <w:b/>
          <w:u w:val="single"/>
        </w:rPr>
      </w:pPr>
    </w:p>
    <w:p w14:paraId="30B82A4C" w14:textId="6E86E3ED" w:rsidR="00C3077A" w:rsidRDefault="00C3077A" w:rsidP="00C3077A">
      <w:pPr>
        <w:rPr>
          <w:bCs/>
          <w:color w:val="000000" w:themeColor="text1"/>
          <w:szCs w:val="24"/>
        </w:rPr>
      </w:pPr>
      <w:r>
        <w:rPr>
          <w:b/>
          <w:bCs/>
          <w:color w:val="000000" w:themeColor="text1"/>
          <w:szCs w:val="24"/>
        </w:rPr>
        <w:t>Individual sample DZ U-Pb results</w:t>
      </w:r>
      <w:r w:rsidRPr="004A6423">
        <w:rPr>
          <w:bCs/>
          <w:color w:val="000000" w:themeColor="text1"/>
          <w:szCs w:val="24"/>
        </w:rPr>
        <w:t>…………………..</w:t>
      </w:r>
      <w:r w:rsidRPr="00880966">
        <w:rPr>
          <w:bCs/>
          <w:color w:val="000000" w:themeColor="text1"/>
          <w:szCs w:val="24"/>
        </w:rPr>
        <w:t>………</w:t>
      </w:r>
      <w:r>
        <w:rPr>
          <w:bCs/>
          <w:color w:val="000000" w:themeColor="text1"/>
          <w:szCs w:val="24"/>
        </w:rPr>
        <w:t>.</w:t>
      </w:r>
      <w:r w:rsidRPr="00880966">
        <w:rPr>
          <w:bCs/>
          <w:color w:val="000000" w:themeColor="text1"/>
          <w:szCs w:val="24"/>
        </w:rPr>
        <w:t>…………………</w:t>
      </w:r>
      <w:r w:rsidR="00990277">
        <w:rPr>
          <w:bCs/>
          <w:color w:val="000000" w:themeColor="text1"/>
          <w:szCs w:val="24"/>
        </w:rPr>
        <w:t xml:space="preserve">       9</w:t>
      </w:r>
    </w:p>
    <w:p w14:paraId="243B8273" w14:textId="1ECC4705" w:rsidR="00C3077A" w:rsidRPr="006132FB" w:rsidRDefault="00C3077A" w:rsidP="00C3077A">
      <w:pPr>
        <w:ind w:firstLine="720"/>
        <w:rPr>
          <w:b/>
          <w:bCs/>
          <w:color w:val="000000" w:themeColor="text1"/>
          <w:szCs w:val="24"/>
        </w:rPr>
      </w:pPr>
      <w:r>
        <w:rPr>
          <w:b/>
          <w:bCs/>
          <w:color w:val="000000" w:themeColor="text1"/>
          <w:szCs w:val="24"/>
        </w:rPr>
        <w:t>Figure</w:t>
      </w:r>
      <w:r w:rsidRPr="001C0FBC">
        <w:rPr>
          <w:b/>
          <w:bCs/>
          <w:color w:val="000000" w:themeColor="text1"/>
          <w:szCs w:val="24"/>
        </w:rPr>
        <w:t xml:space="preserve"> S</w:t>
      </w:r>
      <w:r w:rsidR="008D63EC">
        <w:rPr>
          <w:b/>
          <w:bCs/>
          <w:color w:val="000000" w:themeColor="text1"/>
          <w:szCs w:val="24"/>
        </w:rPr>
        <w:t>6</w:t>
      </w:r>
      <w:r>
        <w:rPr>
          <w:bCs/>
          <w:color w:val="000000" w:themeColor="text1"/>
          <w:szCs w:val="24"/>
        </w:rPr>
        <w:t xml:space="preserve">: </w:t>
      </w:r>
      <w:r w:rsidRPr="008470CE">
        <w:rPr>
          <w:bCs/>
          <w:i/>
          <w:color w:val="000000" w:themeColor="text1"/>
          <w:szCs w:val="24"/>
        </w:rPr>
        <w:t>DZ results for individual samples BH1, 03, 04, 05DTB19</w:t>
      </w:r>
      <w:r>
        <w:rPr>
          <w:bCs/>
          <w:color w:val="000000" w:themeColor="text1"/>
          <w:szCs w:val="24"/>
        </w:rPr>
        <w:t xml:space="preserve">……       </w:t>
      </w:r>
      <w:r w:rsidR="00990277">
        <w:rPr>
          <w:bCs/>
          <w:color w:val="000000" w:themeColor="text1"/>
          <w:szCs w:val="24"/>
        </w:rPr>
        <w:t>9</w:t>
      </w:r>
    </w:p>
    <w:p w14:paraId="1A082B47" w14:textId="77777777" w:rsidR="00C3077A" w:rsidRDefault="00C3077A" w:rsidP="00C3077A">
      <w:pPr>
        <w:rPr>
          <w:b/>
          <w:bCs/>
          <w:color w:val="000000" w:themeColor="text1"/>
          <w:szCs w:val="24"/>
        </w:rPr>
      </w:pPr>
    </w:p>
    <w:p w14:paraId="467110CB" w14:textId="56147B66" w:rsidR="00C3077A" w:rsidRDefault="00C3077A" w:rsidP="00C3077A">
      <w:pPr>
        <w:rPr>
          <w:bCs/>
          <w:color w:val="000000" w:themeColor="text1"/>
          <w:szCs w:val="24"/>
        </w:rPr>
      </w:pPr>
      <w:r>
        <w:rPr>
          <w:b/>
          <w:bCs/>
          <w:color w:val="000000" w:themeColor="text1"/>
          <w:szCs w:val="24"/>
        </w:rPr>
        <w:t>Alternative maximum depositional age calculations</w:t>
      </w:r>
      <w:r w:rsidRPr="00880966">
        <w:rPr>
          <w:bCs/>
          <w:color w:val="000000" w:themeColor="text1"/>
          <w:szCs w:val="24"/>
        </w:rPr>
        <w:t>……………………………</w:t>
      </w:r>
      <w:r w:rsidR="00990277">
        <w:rPr>
          <w:bCs/>
          <w:color w:val="000000" w:themeColor="text1"/>
          <w:szCs w:val="24"/>
        </w:rPr>
        <w:t xml:space="preserve">       10</w:t>
      </w:r>
    </w:p>
    <w:p w14:paraId="7A9E18F4" w14:textId="53B9BA62" w:rsidR="00C3077A" w:rsidRDefault="00C3077A" w:rsidP="00C3077A">
      <w:pPr>
        <w:ind w:firstLine="720"/>
        <w:rPr>
          <w:bCs/>
          <w:color w:val="000000" w:themeColor="text1"/>
          <w:szCs w:val="24"/>
        </w:rPr>
      </w:pPr>
      <w:r w:rsidRPr="001C0FBC">
        <w:rPr>
          <w:b/>
          <w:bCs/>
          <w:color w:val="000000" w:themeColor="text1"/>
          <w:szCs w:val="24"/>
        </w:rPr>
        <w:t>Table S</w:t>
      </w:r>
      <w:r w:rsidR="008D63EC">
        <w:rPr>
          <w:b/>
          <w:bCs/>
          <w:color w:val="000000" w:themeColor="text1"/>
          <w:szCs w:val="24"/>
        </w:rPr>
        <w:t>2</w:t>
      </w:r>
      <w:r>
        <w:rPr>
          <w:bCs/>
          <w:color w:val="000000" w:themeColor="text1"/>
          <w:szCs w:val="24"/>
        </w:rPr>
        <w:t xml:space="preserve">: </w:t>
      </w:r>
      <w:r w:rsidRPr="006132FB">
        <w:rPr>
          <w:bCs/>
          <w:i/>
          <w:color w:val="000000" w:themeColor="text1"/>
          <w:szCs w:val="24"/>
        </w:rPr>
        <w:t>Alternative maximum depositional age calculations based off other published methods</w:t>
      </w:r>
      <w:r>
        <w:rPr>
          <w:bCs/>
          <w:color w:val="000000" w:themeColor="text1"/>
          <w:szCs w:val="24"/>
        </w:rPr>
        <w:t>………</w:t>
      </w:r>
      <w:r w:rsidR="00990277">
        <w:rPr>
          <w:bCs/>
          <w:color w:val="000000" w:themeColor="text1"/>
          <w:szCs w:val="24"/>
        </w:rPr>
        <w:t>…………………………………………………………..       10</w:t>
      </w:r>
    </w:p>
    <w:p w14:paraId="1C140D5C" w14:textId="77777777" w:rsidR="00521386" w:rsidRDefault="00521386" w:rsidP="00111843">
      <w:pPr>
        <w:rPr>
          <w:b/>
          <w:bCs/>
          <w:color w:val="000000" w:themeColor="text1"/>
          <w:szCs w:val="24"/>
        </w:rPr>
      </w:pPr>
    </w:p>
    <w:p w14:paraId="04B3EB46" w14:textId="1CF386CD" w:rsidR="001C0FBC" w:rsidRDefault="001C0FBC" w:rsidP="00111843">
      <w:pPr>
        <w:rPr>
          <w:bCs/>
          <w:color w:val="000000" w:themeColor="text1"/>
          <w:szCs w:val="24"/>
        </w:rPr>
      </w:pPr>
      <w:r w:rsidRPr="00C075DD">
        <w:rPr>
          <w:b/>
          <w:bCs/>
          <w:color w:val="000000" w:themeColor="text1"/>
          <w:szCs w:val="24"/>
        </w:rPr>
        <w:t>Laser ablation split stream analysis (LA-SS-ICPMS) of Hf isotopes (LA-MC-ICPMS) and U-Pb ages (LA-Q-ICPMS</w:t>
      </w:r>
      <w:r>
        <w:rPr>
          <w:b/>
          <w:bCs/>
          <w:color w:val="000000" w:themeColor="text1"/>
          <w:szCs w:val="24"/>
        </w:rPr>
        <w:t>)</w:t>
      </w:r>
      <w:r w:rsidRPr="001C0FBC">
        <w:rPr>
          <w:bCs/>
          <w:color w:val="000000" w:themeColor="text1"/>
          <w:szCs w:val="24"/>
        </w:rPr>
        <w:t xml:space="preserve">……………………………………….. </w:t>
      </w:r>
      <w:r>
        <w:rPr>
          <w:bCs/>
          <w:color w:val="000000" w:themeColor="text1"/>
          <w:szCs w:val="24"/>
        </w:rPr>
        <w:t xml:space="preserve">        </w:t>
      </w:r>
      <w:r w:rsidR="00FB7741">
        <w:rPr>
          <w:bCs/>
          <w:color w:val="000000" w:themeColor="text1"/>
          <w:szCs w:val="24"/>
        </w:rPr>
        <w:t>11</w:t>
      </w:r>
      <w:r>
        <w:rPr>
          <w:bCs/>
          <w:color w:val="000000" w:themeColor="text1"/>
          <w:szCs w:val="24"/>
        </w:rPr>
        <w:br/>
      </w:r>
      <w:r>
        <w:rPr>
          <w:bCs/>
          <w:color w:val="000000" w:themeColor="text1"/>
          <w:szCs w:val="24"/>
        </w:rPr>
        <w:tab/>
      </w:r>
      <w:r w:rsidRPr="001C0FBC">
        <w:rPr>
          <w:b/>
          <w:bCs/>
          <w:color w:val="000000" w:themeColor="text1"/>
          <w:szCs w:val="24"/>
        </w:rPr>
        <w:t>Table S</w:t>
      </w:r>
      <w:r w:rsidR="008D63EC">
        <w:rPr>
          <w:b/>
          <w:bCs/>
          <w:color w:val="000000" w:themeColor="text1"/>
          <w:szCs w:val="24"/>
        </w:rPr>
        <w:t>3</w:t>
      </w:r>
      <w:r>
        <w:rPr>
          <w:bCs/>
          <w:color w:val="000000" w:themeColor="text1"/>
          <w:szCs w:val="24"/>
        </w:rPr>
        <w:t xml:space="preserve">: </w:t>
      </w:r>
      <w:r w:rsidRPr="001C0FBC">
        <w:rPr>
          <w:bCs/>
          <w:i/>
          <w:color w:val="000000" w:themeColor="text1"/>
          <w:szCs w:val="24"/>
        </w:rPr>
        <w:t>Recommended 176Hf/177Hf value for zircon reference materials and weighted mean standard corrected ratio obtained in each analytical session</w:t>
      </w:r>
      <w:r>
        <w:rPr>
          <w:bCs/>
          <w:color w:val="000000" w:themeColor="text1"/>
          <w:szCs w:val="24"/>
        </w:rPr>
        <w:t xml:space="preserve">…….        </w:t>
      </w:r>
      <w:r w:rsidR="00FF1E80">
        <w:rPr>
          <w:bCs/>
          <w:color w:val="000000" w:themeColor="text1"/>
          <w:szCs w:val="24"/>
        </w:rPr>
        <w:t>12</w:t>
      </w:r>
      <w:r>
        <w:rPr>
          <w:bCs/>
          <w:color w:val="000000" w:themeColor="text1"/>
          <w:szCs w:val="24"/>
        </w:rPr>
        <w:br/>
      </w:r>
      <w:r>
        <w:rPr>
          <w:bCs/>
          <w:color w:val="000000" w:themeColor="text1"/>
          <w:szCs w:val="24"/>
        </w:rPr>
        <w:tab/>
      </w:r>
      <w:r w:rsidRPr="001C0FBC">
        <w:rPr>
          <w:b/>
          <w:bCs/>
          <w:color w:val="000000" w:themeColor="text1"/>
          <w:szCs w:val="24"/>
        </w:rPr>
        <w:t>Table S</w:t>
      </w:r>
      <w:r w:rsidR="008D63EC">
        <w:rPr>
          <w:b/>
          <w:bCs/>
          <w:color w:val="000000" w:themeColor="text1"/>
          <w:szCs w:val="24"/>
        </w:rPr>
        <w:t>4</w:t>
      </w:r>
      <w:r>
        <w:rPr>
          <w:bCs/>
          <w:color w:val="000000" w:themeColor="text1"/>
          <w:szCs w:val="24"/>
        </w:rPr>
        <w:t>:</w:t>
      </w:r>
      <w:r w:rsidRPr="001C0FBC">
        <w:rPr>
          <w:szCs w:val="24"/>
        </w:rPr>
        <w:t xml:space="preserve"> </w:t>
      </w:r>
      <w:r w:rsidRPr="001C0FBC">
        <w:rPr>
          <w:i/>
          <w:szCs w:val="24"/>
        </w:rPr>
        <w:t>Recommended ages for zircon reference materials and weighted mean standard corrected ages obtained in each analytical session</w:t>
      </w:r>
      <w:r>
        <w:rPr>
          <w:i/>
          <w:szCs w:val="24"/>
        </w:rPr>
        <w:t xml:space="preserve">…………………………       </w:t>
      </w:r>
      <w:r w:rsidR="00990277">
        <w:rPr>
          <w:i/>
          <w:szCs w:val="24"/>
        </w:rPr>
        <w:t>1</w:t>
      </w:r>
      <w:r w:rsidR="00FF1E80">
        <w:rPr>
          <w:i/>
          <w:szCs w:val="24"/>
        </w:rPr>
        <w:t>3</w:t>
      </w:r>
    </w:p>
    <w:p w14:paraId="30A4FF93" w14:textId="77777777" w:rsidR="001C0FBC" w:rsidRDefault="001C0FBC" w:rsidP="00111843">
      <w:pPr>
        <w:rPr>
          <w:rFonts w:ascii="Myriad Pro" w:hAnsi="Myriad Pro"/>
          <w:b/>
        </w:rPr>
      </w:pPr>
    </w:p>
    <w:p w14:paraId="08D57BB8" w14:textId="5C01565A" w:rsidR="001C0FBC" w:rsidRDefault="001C0FBC" w:rsidP="00111843">
      <w:pPr>
        <w:rPr>
          <w:bCs/>
          <w:color w:val="000000" w:themeColor="text1"/>
          <w:szCs w:val="24"/>
        </w:rPr>
      </w:pPr>
      <w:r>
        <w:rPr>
          <w:b/>
          <w:bCs/>
          <w:color w:val="000000" w:themeColor="text1"/>
          <w:szCs w:val="24"/>
        </w:rPr>
        <w:t>Rapid l</w:t>
      </w:r>
      <w:r w:rsidRPr="00C075DD">
        <w:rPr>
          <w:b/>
          <w:bCs/>
          <w:color w:val="000000" w:themeColor="text1"/>
          <w:szCs w:val="24"/>
        </w:rPr>
        <w:t xml:space="preserve">aser ablation </w:t>
      </w:r>
      <w:r w:rsidR="00E852B3" w:rsidRPr="00C075DD">
        <w:rPr>
          <w:b/>
          <w:bCs/>
          <w:color w:val="000000" w:themeColor="text1"/>
          <w:szCs w:val="24"/>
        </w:rPr>
        <w:t>analysis (</w:t>
      </w:r>
      <w:r w:rsidR="00D55820">
        <w:rPr>
          <w:b/>
          <w:bCs/>
          <w:color w:val="000000" w:themeColor="text1"/>
          <w:szCs w:val="24"/>
        </w:rPr>
        <w:t>LA-Q</w:t>
      </w:r>
      <w:r w:rsidR="00D55820" w:rsidRPr="00C075DD">
        <w:rPr>
          <w:b/>
          <w:bCs/>
          <w:color w:val="000000" w:themeColor="text1"/>
          <w:szCs w:val="24"/>
        </w:rPr>
        <w:t xml:space="preserve">-ICPMS) </w:t>
      </w:r>
      <w:r w:rsidRPr="00C075DD">
        <w:rPr>
          <w:b/>
          <w:bCs/>
          <w:color w:val="000000" w:themeColor="text1"/>
          <w:szCs w:val="24"/>
        </w:rPr>
        <w:t>of U-Pb ages</w:t>
      </w:r>
      <w:r>
        <w:rPr>
          <w:b/>
          <w:bCs/>
          <w:color w:val="000000" w:themeColor="text1"/>
          <w:szCs w:val="24"/>
        </w:rPr>
        <w:t xml:space="preserve"> and discussion of results</w:t>
      </w:r>
      <w:r w:rsidR="00551C22">
        <w:rPr>
          <w:b/>
          <w:bCs/>
          <w:color w:val="000000" w:themeColor="text1"/>
          <w:szCs w:val="24"/>
        </w:rPr>
        <w:t xml:space="preserve"> compared to conventional analysis</w:t>
      </w:r>
      <w:r w:rsidR="00705AD5" w:rsidRPr="00705AD5">
        <w:rPr>
          <w:bCs/>
          <w:color w:val="000000" w:themeColor="text1"/>
          <w:szCs w:val="24"/>
        </w:rPr>
        <w:t>………………………………………………..</w:t>
      </w:r>
      <w:r w:rsidR="00705AD5">
        <w:rPr>
          <w:bCs/>
          <w:color w:val="000000" w:themeColor="text1"/>
          <w:szCs w:val="24"/>
        </w:rPr>
        <w:t xml:space="preserve">     </w:t>
      </w:r>
      <w:r w:rsidR="00FF1E80">
        <w:rPr>
          <w:bCs/>
          <w:color w:val="000000" w:themeColor="text1"/>
          <w:szCs w:val="24"/>
        </w:rPr>
        <w:t>14</w:t>
      </w:r>
    </w:p>
    <w:p w14:paraId="4FEF0C03" w14:textId="2FD6C3E2" w:rsidR="00130EC0" w:rsidRDefault="008D63EC" w:rsidP="006132FB">
      <w:pPr>
        <w:ind w:firstLine="720"/>
        <w:rPr>
          <w:bCs/>
          <w:color w:val="000000" w:themeColor="text1"/>
          <w:szCs w:val="24"/>
        </w:rPr>
      </w:pPr>
      <w:r>
        <w:rPr>
          <w:b/>
          <w:bCs/>
          <w:color w:val="000000" w:themeColor="text1"/>
          <w:szCs w:val="24"/>
        </w:rPr>
        <w:t>Figure</w:t>
      </w:r>
      <w:r w:rsidRPr="001C0FBC">
        <w:rPr>
          <w:b/>
          <w:bCs/>
          <w:color w:val="000000" w:themeColor="text1"/>
          <w:szCs w:val="24"/>
        </w:rPr>
        <w:t xml:space="preserve"> S</w:t>
      </w:r>
      <w:r>
        <w:rPr>
          <w:b/>
          <w:bCs/>
          <w:color w:val="000000" w:themeColor="text1"/>
          <w:szCs w:val="24"/>
        </w:rPr>
        <w:t>7</w:t>
      </w:r>
      <w:r>
        <w:rPr>
          <w:bCs/>
          <w:color w:val="000000" w:themeColor="text1"/>
          <w:szCs w:val="24"/>
        </w:rPr>
        <w:t xml:space="preserve">: </w:t>
      </w:r>
      <w:r w:rsidRPr="008470CE">
        <w:rPr>
          <w:bCs/>
          <w:i/>
          <w:color w:val="000000" w:themeColor="text1"/>
          <w:szCs w:val="24"/>
        </w:rPr>
        <w:t>Rapid vs. conventional discordance</w:t>
      </w:r>
      <w:r>
        <w:rPr>
          <w:bCs/>
          <w:color w:val="000000" w:themeColor="text1"/>
          <w:szCs w:val="24"/>
        </w:rPr>
        <w:t xml:space="preserve">……………………………       </w:t>
      </w:r>
      <w:r w:rsidR="00FB7741">
        <w:rPr>
          <w:bCs/>
          <w:color w:val="000000" w:themeColor="text1"/>
          <w:szCs w:val="24"/>
        </w:rPr>
        <w:t>16</w:t>
      </w:r>
    </w:p>
    <w:p w14:paraId="10C871C6" w14:textId="77777777" w:rsidR="00130EC0" w:rsidRPr="006132FB" w:rsidRDefault="00130EC0" w:rsidP="006132FB">
      <w:pPr>
        <w:ind w:firstLine="720"/>
        <w:rPr>
          <w:b/>
          <w:bCs/>
          <w:color w:val="000000" w:themeColor="text1"/>
          <w:szCs w:val="24"/>
        </w:rPr>
      </w:pPr>
    </w:p>
    <w:p w14:paraId="0255DFF3" w14:textId="74D00EC4" w:rsidR="00892F86" w:rsidRPr="00892F86" w:rsidRDefault="00892F86" w:rsidP="00111843">
      <w:pPr>
        <w:rPr>
          <w:bCs/>
          <w:color w:val="000000" w:themeColor="text1"/>
          <w:szCs w:val="24"/>
        </w:rPr>
      </w:pPr>
      <w:r>
        <w:rPr>
          <w:b/>
          <w:bCs/>
          <w:color w:val="000000" w:themeColor="text1"/>
          <w:szCs w:val="24"/>
        </w:rPr>
        <w:t>Additional acknowledgements</w:t>
      </w:r>
      <w:r w:rsidR="00FB7741">
        <w:rPr>
          <w:bCs/>
          <w:color w:val="000000" w:themeColor="text1"/>
          <w:szCs w:val="24"/>
        </w:rPr>
        <w:t>……………………………………………………..      17</w:t>
      </w:r>
    </w:p>
    <w:p w14:paraId="6F2A341B" w14:textId="424405C8" w:rsidR="00880966" w:rsidRDefault="00880966" w:rsidP="00111843">
      <w:pPr>
        <w:rPr>
          <w:b/>
          <w:bCs/>
          <w:color w:val="000000" w:themeColor="text1"/>
          <w:szCs w:val="24"/>
        </w:rPr>
      </w:pPr>
      <w:r>
        <w:rPr>
          <w:b/>
          <w:bCs/>
          <w:color w:val="000000" w:themeColor="text1"/>
          <w:szCs w:val="24"/>
        </w:rPr>
        <w:t>References</w:t>
      </w:r>
      <w:r w:rsidRPr="00880966">
        <w:rPr>
          <w:bCs/>
          <w:color w:val="000000" w:themeColor="text1"/>
          <w:szCs w:val="24"/>
        </w:rPr>
        <w:t>………………………………………………………</w:t>
      </w:r>
      <w:r w:rsidR="00705AD5">
        <w:rPr>
          <w:bCs/>
          <w:color w:val="000000" w:themeColor="text1"/>
          <w:szCs w:val="24"/>
        </w:rPr>
        <w:t>……………………</w:t>
      </w:r>
      <w:r>
        <w:rPr>
          <w:bCs/>
          <w:color w:val="000000" w:themeColor="text1"/>
          <w:szCs w:val="24"/>
        </w:rPr>
        <w:t xml:space="preserve">     </w:t>
      </w:r>
      <w:r w:rsidR="00892F86">
        <w:rPr>
          <w:bCs/>
          <w:color w:val="000000" w:themeColor="text1"/>
          <w:szCs w:val="24"/>
        </w:rPr>
        <w:t>1</w:t>
      </w:r>
      <w:r w:rsidR="00FB7741">
        <w:rPr>
          <w:bCs/>
          <w:color w:val="000000" w:themeColor="text1"/>
          <w:szCs w:val="24"/>
        </w:rPr>
        <w:t>7</w:t>
      </w:r>
    </w:p>
    <w:p w14:paraId="793D15F6" w14:textId="77777777" w:rsidR="001C0FBC" w:rsidRDefault="001C0FBC" w:rsidP="00111843">
      <w:pPr>
        <w:rPr>
          <w:rFonts w:ascii="Myriad Pro" w:hAnsi="Myriad Pro"/>
          <w:b/>
        </w:rPr>
      </w:pPr>
    </w:p>
    <w:p w14:paraId="2323E638" w14:textId="7FA85980" w:rsidR="00111843" w:rsidRPr="00CE6EAA" w:rsidRDefault="00111843" w:rsidP="00111843">
      <w:pPr>
        <w:rPr>
          <w:rFonts w:ascii="Myriad Pro" w:hAnsi="Myriad Pro"/>
          <w:b/>
        </w:rPr>
      </w:pPr>
      <w:r w:rsidRPr="00CE6EAA">
        <w:rPr>
          <w:rFonts w:ascii="Myriad Pro" w:hAnsi="Myriad Pro"/>
          <w:b/>
        </w:rPr>
        <w:t xml:space="preserve">Additional Supporting </w:t>
      </w:r>
      <w:r w:rsidR="00797422">
        <w:rPr>
          <w:rFonts w:ascii="Myriad Pro" w:hAnsi="Myriad Pro"/>
          <w:b/>
        </w:rPr>
        <w:t xml:space="preserve">Tables </w:t>
      </w:r>
      <w:r w:rsidRPr="00CE6EAA">
        <w:rPr>
          <w:rFonts w:ascii="Myriad Pro" w:hAnsi="Myriad Pro"/>
          <w:b/>
        </w:rPr>
        <w:t>(</w:t>
      </w:r>
      <w:r w:rsidR="00797422">
        <w:rPr>
          <w:rFonts w:ascii="Myriad Pro" w:hAnsi="Myriad Pro"/>
          <w:b/>
        </w:rPr>
        <w:t>captions on page number, f</w:t>
      </w:r>
      <w:r w:rsidRPr="00CE6EAA">
        <w:rPr>
          <w:rFonts w:ascii="Myriad Pro" w:hAnsi="Myriad Pro"/>
          <w:b/>
        </w:rPr>
        <w:t>iles uploaded separately</w:t>
      </w:r>
      <w:r w:rsidR="007602AB">
        <w:rPr>
          <w:rFonts w:ascii="Myriad Pro" w:hAnsi="Myriad Pro"/>
          <w:b/>
        </w:rPr>
        <w:t xml:space="preserve"> in single excel file</w:t>
      </w:r>
      <w:r w:rsidRPr="00CE6EAA">
        <w:rPr>
          <w:rFonts w:ascii="Myriad Pro" w:hAnsi="Myriad Pro"/>
          <w:b/>
        </w:rPr>
        <w:t>)</w:t>
      </w:r>
    </w:p>
    <w:p w14:paraId="3343B9AD" w14:textId="77777777" w:rsidR="00111843" w:rsidRPr="00E40896" w:rsidRDefault="00111843" w:rsidP="00111843">
      <w:pPr>
        <w:rPr>
          <w:rFonts w:ascii="Myriad Pro Light" w:hAnsi="Myriad Pro Light"/>
          <w:b/>
        </w:rPr>
      </w:pPr>
    </w:p>
    <w:p w14:paraId="0807A703" w14:textId="57E7E951" w:rsidR="00356E2B" w:rsidRPr="007602AB" w:rsidRDefault="005027A3" w:rsidP="00356E2B">
      <w:pPr>
        <w:ind w:left="720"/>
        <w:rPr>
          <w:sz w:val="22"/>
          <w:szCs w:val="22"/>
        </w:rPr>
      </w:pPr>
      <w:r>
        <w:rPr>
          <w:b/>
          <w:sz w:val="22"/>
          <w:szCs w:val="22"/>
        </w:rPr>
        <w:t>Table S</w:t>
      </w:r>
      <w:r w:rsidR="00585857">
        <w:rPr>
          <w:b/>
          <w:sz w:val="22"/>
          <w:szCs w:val="22"/>
        </w:rPr>
        <w:t>5</w:t>
      </w:r>
      <w:r w:rsidR="00356E2B" w:rsidRPr="007602AB">
        <w:rPr>
          <w:b/>
          <w:sz w:val="22"/>
          <w:szCs w:val="22"/>
        </w:rPr>
        <w:t>:</w:t>
      </w:r>
      <w:r w:rsidR="00356E2B" w:rsidRPr="007602AB">
        <w:rPr>
          <w:sz w:val="22"/>
          <w:szCs w:val="22"/>
        </w:rPr>
        <w:t xml:space="preserve"> Locations and designations for samples analyzed in this paper</w:t>
      </w:r>
      <w:r w:rsidR="008361DB">
        <w:rPr>
          <w:sz w:val="22"/>
          <w:szCs w:val="22"/>
        </w:rPr>
        <w:t xml:space="preserve"> </w:t>
      </w:r>
    </w:p>
    <w:p w14:paraId="6AD1358C" w14:textId="65F75F30" w:rsidR="00356E2B" w:rsidRDefault="00585857" w:rsidP="00356E2B">
      <w:pPr>
        <w:ind w:left="720"/>
        <w:rPr>
          <w:sz w:val="22"/>
          <w:szCs w:val="22"/>
        </w:rPr>
      </w:pPr>
      <w:r>
        <w:rPr>
          <w:b/>
          <w:sz w:val="22"/>
          <w:szCs w:val="22"/>
        </w:rPr>
        <w:t>Table S6</w:t>
      </w:r>
      <w:r w:rsidR="00356E2B" w:rsidRPr="007602AB">
        <w:rPr>
          <w:b/>
          <w:sz w:val="22"/>
          <w:szCs w:val="22"/>
        </w:rPr>
        <w:t>:</w:t>
      </w:r>
      <w:r w:rsidR="00356E2B" w:rsidRPr="007602AB">
        <w:rPr>
          <w:sz w:val="22"/>
          <w:szCs w:val="22"/>
        </w:rPr>
        <w:t xml:space="preserve"> </w:t>
      </w:r>
      <w:r w:rsidR="00473FB5">
        <w:rPr>
          <w:sz w:val="22"/>
          <w:szCs w:val="22"/>
        </w:rPr>
        <w:t>C</w:t>
      </w:r>
      <w:r w:rsidR="00356E2B">
        <w:rPr>
          <w:sz w:val="22"/>
          <w:szCs w:val="22"/>
        </w:rPr>
        <w:t>onventional</w:t>
      </w:r>
      <w:r w:rsidR="00473FB5">
        <w:rPr>
          <w:sz w:val="22"/>
          <w:szCs w:val="22"/>
        </w:rPr>
        <w:t xml:space="preserve"> LA-ICP-MS</w:t>
      </w:r>
      <w:r w:rsidR="00356E2B">
        <w:rPr>
          <w:sz w:val="22"/>
          <w:szCs w:val="22"/>
        </w:rPr>
        <w:t xml:space="preserve"> </w:t>
      </w:r>
      <w:r w:rsidR="00473FB5">
        <w:rPr>
          <w:sz w:val="22"/>
          <w:szCs w:val="22"/>
        </w:rPr>
        <w:t xml:space="preserve">U-Pb </w:t>
      </w:r>
      <w:r w:rsidR="00356E2B">
        <w:rPr>
          <w:sz w:val="22"/>
          <w:szCs w:val="22"/>
        </w:rPr>
        <w:t xml:space="preserve">analysis </w:t>
      </w:r>
      <w:r w:rsidR="00473FB5">
        <w:rPr>
          <w:sz w:val="22"/>
          <w:szCs w:val="22"/>
        </w:rPr>
        <w:t xml:space="preserve">results </w:t>
      </w:r>
      <w:r w:rsidR="00356E2B">
        <w:rPr>
          <w:sz w:val="22"/>
          <w:szCs w:val="22"/>
        </w:rPr>
        <w:t>for all samples</w:t>
      </w:r>
      <w:r w:rsidR="008361DB">
        <w:rPr>
          <w:sz w:val="22"/>
          <w:szCs w:val="22"/>
        </w:rPr>
        <w:t xml:space="preserve">  </w:t>
      </w:r>
    </w:p>
    <w:p w14:paraId="66F857C4" w14:textId="4824C443" w:rsidR="00356E2B" w:rsidRDefault="00356E2B" w:rsidP="00356E2B">
      <w:pPr>
        <w:ind w:left="720"/>
        <w:rPr>
          <w:sz w:val="22"/>
          <w:szCs w:val="22"/>
        </w:rPr>
      </w:pPr>
      <w:r>
        <w:rPr>
          <w:b/>
          <w:sz w:val="22"/>
          <w:szCs w:val="22"/>
        </w:rPr>
        <w:t xml:space="preserve">Table </w:t>
      </w:r>
      <w:r w:rsidR="00585857">
        <w:rPr>
          <w:b/>
          <w:sz w:val="22"/>
          <w:szCs w:val="22"/>
        </w:rPr>
        <w:t>S7</w:t>
      </w:r>
      <w:r>
        <w:rPr>
          <w:b/>
          <w:sz w:val="22"/>
          <w:szCs w:val="22"/>
        </w:rPr>
        <w:t>:</w:t>
      </w:r>
      <w:r w:rsidR="00473FB5">
        <w:rPr>
          <w:sz w:val="22"/>
          <w:szCs w:val="22"/>
        </w:rPr>
        <w:t xml:space="preserve"> Lu-Hf results </w:t>
      </w:r>
      <w:r>
        <w:rPr>
          <w:sz w:val="22"/>
          <w:szCs w:val="22"/>
        </w:rPr>
        <w:t>for all samples</w:t>
      </w:r>
      <w:r w:rsidR="008361DB">
        <w:rPr>
          <w:sz w:val="22"/>
          <w:szCs w:val="22"/>
        </w:rPr>
        <w:t xml:space="preserve">.   </w:t>
      </w:r>
    </w:p>
    <w:p w14:paraId="72E6BA9F" w14:textId="70CE7D91" w:rsidR="00356E2B" w:rsidRDefault="00356E2B" w:rsidP="00356E2B">
      <w:pPr>
        <w:ind w:left="720"/>
        <w:rPr>
          <w:sz w:val="22"/>
          <w:szCs w:val="22"/>
        </w:rPr>
      </w:pPr>
      <w:r>
        <w:rPr>
          <w:b/>
          <w:sz w:val="22"/>
          <w:szCs w:val="22"/>
        </w:rPr>
        <w:t>Tabl</w:t>
      </w:r>
      <w:r w:rsidR="00585857">
        <w:rPr>
          <w:b/>
          <w:sz w:val="22"/>
          <w:szCs w:val="22"/>
        </w:rPr>
        <w:t>e S8</w:t>
      </w:r>
      <w:r>
        <w:rPr>
          <w:b/>
          <w:sz w:val="22"/>
          <w:szCs w:val="22"/>
        </w:rPr>
        <w:t>:</w:t>
      </w:r>
      <w:r>
        <w:rPr>
          <w:sz w:val="22"/>
          <w:szCs w:val="22"/>
        </w:rPr>
        <w:t xml:space="preserve"> Rapid LA-ICP</w:t>
      </w:r>
      <w:r w:rsidR="00473FB5">
        <w:rPr>
          <w:sz w:val="22"/>
          <w:szCs w:val="22"/>
        </w:rPr>
        <w:t>-</w:t>
      </w:r>
      <w:r>
        <w:rPr>
          <w:sz w:val="22"/>
          <w:szCs w:val="22"/>
        </w:rPr>
        <w:t>MS</w:t>
      </w:r>
      <w:r w:rsidR="00473FB5">
        <w:rPr>
          <w:sz w:val="22"/>
          <w:szCs w:val="22"/>
        </w:rPr>
        <w:t xml:space="preserve"> U-Pb analysis</w:t>
      </w:r>
      <w:r>
        <w:rPr>
          <w:sz w:val="22"/>
          <w:szCs w:val="22"/>
        </w:rPr>
        <w:t xml:space="preserve"> results for all samples</w:t>
      </w:r>
      <w:r w:rsidR="008361DB">
        <w:rPr>
          <w:sz w:val="22"/>
          <w:szCs w:val="22"/>
        </w:rPr>
        <w:t xml:space="preserve">   </w:t>
      </w:r>
      <w:r w:rsidR="00473FB5">
        <w:rPr>
          <w:sz w:val="22"/>
          <w:szCs w:val="22"/>
        </w:rPr>
        <w:br/>
      </w:r>
      <w:r w:rsidR="00473FB5" w:rsidRPr="00473FB5">
        <w:rPr>
          <w:b/>
          <w:sz w:val="22"/>
          <w:szCs w:val="22"/>
        </w:rPr>
        <w:t>Table S9:</w:t>
      </w:r>
      <w:r w:rsidR="00473FB5">
        <w:rPr>
          <w:b/>
          <w:sz w:val="22"/>
          <w:szCs w:val="22"/>
        </w:rPr>
        <w:t xml:space="preserve"> </w:t>
      </w:r>
      <w:r w:rsidR="00473FB5" w:rsidRPr="00473FB5">
        <w:rPr>
          <w:sz w:val="22"/>
          <w:szCs w:val="22"/>
        </w:rPr>
        <w:t>Grains &lt;850 Ma considered for MDA calculations</w:t>
      </w:r>
    </w:p>
    <w:p w14:paraId="648A0D47" w14:textId="1F27D4FF" w:rsidR="00356E2B" w:rsidRPr="007602AB" w:rsidRDefault="00356E2B" w:rsidP="00356E2B">
      <w:pPr>
        <w:ind w:left="720"/>
        <w:rPr>
          <w:sz w:val="22"/>
          <w:szCs w:val="22"/>
        </w:rPr>
      </w:pPr>
      <w:r>
        <w:rPr>
          <w:b/>
          <w:sz w:val="22"/>
          <w:szCs w:val="22"/>
        </w:rPr>
        <w:t>Table</w:t>
      </w:r>
      <w:r w:rsidR="00473FB5">
        <w:rPr>
          <w:b/>
          <w:sz w:val="22"/>
          <w:szCs w:val="22"/>
        </w:rPr>
        <w:t xml:space="preserve"> S10</w:t>
      </w:r>
      <w:r>
        <w:rPr>
          <w:b/>
          <w:sz w:val="22"/>
          <w:szCs w:val="22"/>
        </w:rPr>
        <w:t>:</w:t>
      </w:r>
      <w:r>
        <w:rPr>
          <w:sz w:val="22"/>
          <w:szCs w:val="22"/>
        </w:rPr>
        <w:t xml:space="preserve"> Complied DZ </w:t>
      </w:r>
      <w:r w:rsidR="00473FB5">
        <w:rPr>
          <w:sz w:val="22"/>
          <w:szCs w:val="22"/>
        </w:rPr>
        <w:t xml:space="preserve">U-Pb </w:t>
      </w:r>
      <w:r>
        <w:rPr>
          <w:sz w:val="22"/>
          <w:szCs w:val="22"/>
        </w:rPr>
        <w:t>data</w:t>
      </w:r>
      <w:r w:rsidR="00473FB5">
        <w:rPr>
          <w:sz w:val="22"/>
          <w:szCs w:val="22"/>
        </w:rPr>
        <w:t xml:space="preserve"> from published sources</w:t>
      </w:r>
      <w:r w:rsidR="008361DB">
        <w:rPr>
          <w:sz w:val="22"/>
          <w:szCs w:val="22"/>
        </w:rPr>
        <w:t xml:space="preserve"> </w:t>
      </w:r>
      <w:r w:rsidR="00473FB5">
        <w:rPr>
          <w:sz w:val="22"/>
          <w:szCs w:val="22"/>
        </w:rPr>
        <w:t>shown in Fig. 2 and 3</w:t>
      </w:r>
    </w:p>
    <w:p w14:paraId="211EFDD4" w14:textId="77777777" w:rsidR="007602AB" w:rsidRPr="007602AB" w:rsidRDefault="007602AB" w:rsidP="007602AB">
      <w:pPr>
        <w:ind w:left="720"/>
        <w:rPr>
          <w:b/>
          <w:sz w:val="22"/>
          <w:szCs w:val="22"/>
        </w:rPr>
      </w:pPr>
    </w:p>
    <w:p w14:paraId="16DFC7D9" w14:textId="77777777" w:rsidR="009F2BAB" w:rsidRDefault="009F2BAB">
      <w:pPr>
        <w:rPr>
          <w:b/>
          <w:bCs/>
          <w:szCs w:val="24"/>
        </w:rPr>
      </w:pPr>
      <w:r>
        <w:rPr>
          <w:b/>
          <w:bCs/>
          <w:szCs w:val="24"/>
        </w:rPr>
        <w:br w:type="page"/>
      </w:r>
    </w:p>
    <w:p w14:paraId="750CB95C" w14:textId="05BE72A1" w:rsidR="00BE3868" w:rsidRDefault="00BE3868" w:rsidP="00BE3868">
      <w:pPr>
        <w:rPr>
          <w:b/>
          <w:bCs/>
          <w:color w:val="000000" w:themeColor="text1"/>
          <w:szCs w:val="24"/>
        </w:rPr>
      </w:pPr>
      <w:r>
        <w:rPr>
          <w:b/>
          <w:bCs/>
          <w:color w:val="000000" w:themeColor="text1"/>
          <w:szCs w:val="24"/>
        </w:rPr>
        <w:lastRenderedPageBreak/>
        <w:t>Additional Field and Stratigraphic Results</w:t>
      </w:r>
    </w:p>
    <w:p w14:paraId="7640362B" w14:textId="5D23CE77" w:rsidR="00832C46" w:rsidRDefault="00832C46" w:rsidP="00BE3868">
      <w:pPr>
        <w:rPr>
          <w:b/>
          <w:bCs/>
          <w:color w:val="000000" w:themeColor="text1"/>
          <w:szCs w:val="24"/>
        </w:rPr>
      </w:pPr>
    </w:p>
    <w:p w14:paraId="41B49C86" w14:textId="77777777" w:rsidR="00832C46" w:rsidRDefault="00832C46" w:rsidP="00BE3868">
      <w:pPr>
        <w:rPr>
          <w:color w:val="000000" w:themeColor="text1"/>
        </w:rPr>
      </w:pPr>
    </w:p>
    <w:p w14:paraId="32D205A6" w14:textId="681723AE" w:rsidR="00FB3949" w:rsidRDefault="000E1D14" w:rsidP="00177A33">
      <w:pPr>
        <w:jc w:val="center"/>
        <w:rPr>
          <w:color w:val="000000" w:themeColor="text1"/>
        </w:rPr>
      </w:pPr>
      <w:r>
        <w:rPr>
          <w:noProof/>
          <w:color w:val="000000" w:themeColor="text1"/>
          <w:lang w:val="en-AU" w:eastAsia="en-AU"/>
        </w:rPr>
        <w:drawing>
          <wp:inline distT="0" distB="0" distL="0" distR="0" wp14:anchorId="5AC0C205" wp14:editId="3BF5CC08">
            <wp:extent cx="5363887" cy="5741582"/>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 S2_Fieldresults_stratigraphy1-05.jpg"/>
                    <pic:cNvPicPr/>
                  </pic:nvPicPr>
                  <pic:blipFill rotWithShape="1">
                    <a:blip r:embed="rId8" cstate="print">
                      <a:extLst>
                        <a:ext uri="{28A0092B-C50C-407E-A947-70E740481C1C}">
                          <a14:useLocalDpi xmlns:a14="http://schemas.microsoft.com/office/drawing/2010/main" val="0"/>
                        </a:ext>
                      </a:extLst>
                    </a:blip>
                    <a:srcRect l="15674" t="20574" r="17394" b="25065"/>
                    <a:stretch/>
                  </pic:blipFill>
                  <pic:spPr bwMode="auto">
                    <a:xfrm>
                      <a:off x="0" y="0"/>
                      <a:ext cx="5375013" cy="5753491"/>
                    </a:xfrm>
                    <a:prstGeom prst="rect">
                      <a:avLst/>
                    </a:prstGeom>
                    <a:ln>
                      <a:noFill/>
                    </a:ln>
                    <a:extLst>
                      <a:ext uri="{53640926-AAD7-44D8-BBD7-CCE9431645EC}">
                        <a14:shadowObscured xmlns:a14="http://schemas.microsoft.com/office/drawing/2010/main"/>
                      </a:ext>
                    </a:extLst>
                  </pic:spPr>
                </pic:pic>
              </a:graphicData>
            </a:graphic>
          </wp:inline>
        </w:drawing>
      </w:r>
    </w:p>
    <w:p w14:paraId="7D677E67" w14:textId="65663033" w:rsidR="00BC2174" w:rsidRDefault="00437F0B" w:rsidP="00367495">
      <w:pPr>
        <w:pStyle w:val="Footnote"/>
      </w:pPr>
      <w:r w:rsidRPr="00482472">
        <w:rPr>
          <w:b/>
        </w:rPr>
        <w:t>Figure S1</w:t>
      </w:r>
      <w:r w:rsidR="00BC2174">
        <w:t xml:space="preserve">: Field photos showing the lithologies that characterize the Buffalo Hump Formation within the study region. </w:t>
      </w:r>
      <w:r>
        <w:t>P</w:t>
      </w:r>
      <w:r w:rsidR="00BC2174">
        <w:t>hotos include (</w:t>
      </w:r>
      <w:r>
        <w:t>A</w:t>
      </w:r>
      <w:r w:rsidR="00BC2174">
        <w:t>) Argillite interva</w:t>
      </w:r>
      <w:r>
        <w:t>l showing pervasive cleavage, (B</w:t>
      </w:r>
      <w:r w:rsidR="00BC2174">
        <w:t xml:space="preserve">) </w:t>
      </w:r>
      <w:r>
        <w:t>Channelization</w:t>
      </w:r>
      <w:r w:rsidR="00BC2174">
        <w:t xml:space="preserve"> wit</w:t>
      </w:r>
      <w:r>
        <w:t>hin a coarser sandy interval, (C</w:t>
      </w:r>
      <w:r w:rsidR="00BC2174">
        <w:t xml:space="preserve">) Coarse cobble within </w:t>
      </w:r>
      <w:r>
        <w:t>the conglomeratic facies, and (D</w:t>
      </w:r>
      <w:r w:rsidR="00BC2174">
        <w:t>) Intact cobble</w:t>
      </w:r>
      <w:r>
        <w:t xml:space="preserve"> (sample 34DTB19)</w:t>
      </w:r>
      <w:r w:rsidR="00BC2174">
        <w:t xml:space="preserve"> collected from the conglomerate facies which was separated and analyzed. </w:t>
      </w:r>
    </w:p>
    <w:p w14:paraId="4ED437C0" w14:textId="0278382F" w:rsidR="00FB3949" w:rsidRDefault="00FB3949">
      <w:pPr>
        <w:rPr>
          <w:color w:val="000000" w:themeColor="text1"/>
        </w:rPr>
      </w:pPr>
    </w:p>
    <w:p w14:paraId="59100AB6" w14:textId="6E948B16" w:rsidR="00FB3949" w:rsidRDefault="00FB3949" w:rsidP="00FB3949">
      <w:pPr>
        <w:jc w:val="center"/>
        <w:rPr>
          <w:color w:val="000000" w:themeColor="text1"/>
        </w:rPr>
      </w:pPr>
      <w:r>
        <w:rPr>
          <w:noProof/>
          <w:color w:val="000000" w:themeColor="text1"/>
          <w:lang w:val="en-AU" w:eastAsia="en-AU"/>
        </w:rPr>
        <w:lastRenderedPageBreak/>
        <w:drawing>
          <wp:inline distT="0" distB="0" distL="0" distR="0" wp14:anchorId="1855FB17" wp14:editId="12820037">
            <wp:extent cx="5124464" cy="69945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S2_Fieldresults_stratigraphy1-01.jpg"/>
                    <pic:cNvPicPr/>
                  </pic:nvPicPr>
                  <pic:blipFill rotWithShape="1">
                    <a:blip r:embed="rId9" cstate="print">
                      <a:extLst>
                        <a:ext uri="{28A0092B-C50C-407E-A947-70E740481C1C}">
                          <a14:useLocalDpi xmlns:a14="http://schemas.microsoft.com/office/drawing/2010/main" val="0"/>
                        </a:ext>
                      </a:extLst>
                    </a:blip>
                    <a:srcRect l="10365" t="4101" r="22506" b="26402"/>
                    <a:stretch/>
                  </pic:blipFill>
                  <pic:spPr bwMode="auto">
                    <a:xfrm>
                      <a:off x="0" y="0"/>
                      <a:ext cx="5133593" cy="7007026"/>
                    </a:xfrm>
                    <a:prstGeom prst="rect">
                      <a:avLst/>
                    </a:prstGeom>
                    <a:ln>
                      <a:noFill/>
                    </a:ln>
                    <a:extLst>
                      <a:ext uri="{53640926-AAD7-44D8-BBD7-CCE9431645EC}">
                        <a14:shadowObscured xmlns:a14="http://schemas.microsoft.com/office/drawing/2010/main"/>
                      </a:ext>
                    </a:extLst>
                  </pic:spPr>
                </pic:pic>
              </a:graphicData>
            </a:graphic>
          </wp:inline>
        </w:drawing>
      </w:r>
    </w:p>
    <w:p w14:paraId="02CE36C9" w14:textId="693C830F" w:rsidR="00367495" w:rsidRDefault="00367495" w:rsidP="00367495">
      <w:pPr>
        <w:pStyle w:val="Footnote"/>
      </w:pPr>
      <w:r w:rsidRPr="00482472">
        <w:rPr>
          <w:b/>
        </w:rPr>
        <w:t>Figure S2</w:t>
      </w:r>
      <w:r>
        <w:t>: Measured stratigraphic section of ~240 m of the Buffalo Hump Formation. Overall, the section consists of coarsening upwards sandstone to conglomerate and mudstone bundles. Generally, exposure decreases up-section reflecting the increased prevalence of recessive mudstone intervals.</w:t>
      </w:r>
      <w:r w:rsidR="00E1518C">
        <w:t xml:space="preserve"> At this location, Buffalo Hump Formation is in fault contact above upper Deer Trail Group (McHale </w:t>
      </w:r>
      <w:r w:rsidR="00F64BEC">
        <w:t>Slate; Miller, 1996; Campbell and Loofbourow</w:t>
      </w:r>
      <w:r w:rsidR="00E1518C">
        <w:t xml:space="preserve">, 1964).  </w:t>
      </w:r>
    </w:p>
    <w:p w14:paraId="53A8C6FF" w14:textId="77777777" w:rsidR="00367495" w:rsidRDefault="00367495" w:rsidP="00FB3949">
      <w:pPr>
        <w:jc w:val="center"/>
        <w:rPr>
          <w:color w:val="000000" w:themeColor="text1"/>
        </w:rPr>
      </w:pPr>
    </w:p>
    <w:p w14:paraId="799E3485" w14:textId="375C489A" w:rsidR="00FB3949" w:rsidRDefault="0016635D" w:rsidP="00614A2E">
      <w:pPr>
        <w:jc w:val="center"/>
        <w:rPr>
          <w:color w:val="000000" w:themeColor="text1"/>
        </w:rPr>
      </w:pPr>
      <w:r w:rsidRPr="0016635D">
        <w:rPr>
          <w:noProof/>
          <w:color w:val="000000" w:themeColor="text1"/>
          <w:lang w:val="en-AU" w:eastAsia="en-AU"/>
        </w:rPr>
        <w:lastRenderedPageBreak/>
        <mc:AlternateContent>
          <mc:Choice Requires="wps">
            <w:drawing>
              <wp:anchor distT="45720" distB="45720" distL="114300" distR="114300" simplePos="0" relativeHeight="251661312" behindDoc="0" locked="0" layoutInCell="1" allowOverlap="1" wp14:anchorId="569D5AA0" wp14:editId="2FF8FF47">
                <wp:simplePos x="0" y="0"/>
                <wp:positionH relativeFrom="margin">
                  <wp:align>right</wp:align>
                </wp:positionH>
                <wp:positionV relativeFrom="paragraph">
                  <wp:posOffset>1803372</wp:posOffset>
                </wp:positionV>
                <wp:extent cx="2588260" cy="4618990"/>
                <wp:effectExtent l="0" t="0" r="254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4618990"/>
                        </a:xfrm>
                        <a:prstGeom prst="rect">
                          <a:avLst/>
                        </a:prstGeom>
                        <a:solidFill>
                          <a:srgbClr val="FFFFFF"/>
                        </a:solidFill>
                        <a:ln w="9525">
                          <a:noFill/>
                          <a:miter lim="800000"/>
                          <a:headEnd/>
                          <a:tailEnd/>
                        </a:ln>
                      </wps:spPr>
                      <wps:txbx>
                        <w:txbxContent>
                          <w:p w14:paraId="163198DA" w14:textId="2BD08C7C" w:rsidR="00BC6E82" w:rsidRDefault="00BC6E82" w:rsidP="0016635D">
                            <w:pPr>
                              <w:pStyle w:val="Footnote"/>
                            </w:pPr>
                            <w:r w:rsidRPr="00482472">
                              <w:rPr>
                                <w:b/>
                              </w:rPr>
                              <w:t>Figure S3</w:t>
                            </w:r>
                            <w:r>
                              <w:t xml:space="preserve">: Measured stratigraphic section of ~60 m of the Buffalo Hump Formation. Overall, this section consists of a single coarsening upwards mudstone to sandstone with local gravel channel sequences. At the top of the section, a dip-slope and limited exposure precluded further stratigraphic measurements. At this location, Buffalo Hump Formation unconformably overlies uppermost Deer Trail Group rocks (Stensgar Dolomite; Miller, 1996).  Miller and Whipple (1989) report localized argillaceous matrix-supported conglomerate at the base of the Buffalo Hump Formation. </w:t>
                            </w:r>
                          </w:p>
                          <w:p w14:paraId="70C73B6B" w14:textId="4028B92C" w:rsidR="00BC6E82" w:rsidRDefault="00BC6E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9D5AA0" id="_x0000_t202" coordsize="21600,21600" o:spt="202" path="m,l,21600r21600,l21600,xe">
                <v:stroke joinstyle="miter"/>
                <v:path gradientshapeok="t" o:connecttype="rect"/>
              </v:shapetype>
              <v:shape id="Text Box 2" o:spid="_x0000_s1026" type="#_x0000_t202" style="position:absolute;left:0;text-align:left;margin-left:152.6pt;margin-top:142pt;width:203.8pt;height:363.7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" stroked="f">
                <v:textbox>
                  <w:txbxContent>
                    <w:p w14:paraId="163198DA" w14:textId="2BD08C7C" w:rsidR="00BC6E82" w:rsidRDefault="00BC6E82" w:rsidP="0016635D">
                      <w:pPr>
                        <w:pStyle w:val="Footnote"/>
                      </w:pPr>
                      <w:r w:rsidRPr="00482472">
                        <w:rPr>
                          <w:b/>
                        </w:rPr>
                        <w:t>Figure S3</w:t>
                      </w:r>
                      <w:r>
                        <w:t xml:space="preserve">: Measured stratigraphic section of ~60 m of the Buffalo Hump Formation. Overall, this section consists of a single coarsening upwards mudstone to sandstone with local gravel channel sequences. At the top of the section, a dip-slope and limited exposure precluded further stratigraphic measurements. At this location, Buffalo Hump Formation unconformably overlies uppermost Deer Trail Group rocks (Stensgar Dolomite; Miller, 1996).  Miller and Whipple (1989) report localized argillaceous matrix-supported conglomerate at the base of the Buffalo Hump Formation. </w:t>
                      </w:r>
                    </w:p>
                    <w:p w14:paraId="70C73B6B" w14:textId="4028B92C" w:rsidR="00BC6E82" w:rsidRDefault="00BC6E82"/>
                  </w:txbxContent>
                </v:textbox>
                <w10:wrap type="square" anchorx="margin"/>
              </v:shape>
            </w:pict>
          </mc:Fallback>
        </mc:AlternateContent>
      </w:r>
      <w:r w:rsidR="00FB3949">
        <w:rPr>
          <w:noProof/>
          <w:color w:val="000000" w:themeColor="text1"/>
          <w:lang w:val="en-AU" w:eastAsia="en-AU"/>
        </w:rPr>
        <w:drawing>
          <wp:inline distT="0" distB="0" distL="0" distR="0" wp14:anchorId="33E87AC8" wp14:editId="1A11E7A4">
            <wp:extent cx="2674961" cy="7633424"/>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S2_Fieldresults_stratigraphy1-03.jpg"/>
                    <pic:cNvPicPr/>
                  </pic:nvPicPr>
                  <pic:blipFill rotWithShape="1">
                    <a:blip r:embed="rId10" cstate="print">
                      <a:extLst>
                        <a:ext uri="{28A0092B-C50C-407E-A947-70E740481C1C}">
                          <a14:useLocalDpi xmlns:a14="http://schemas.microsoft.com/office/drawing/2010/main" val="0"/>
                        </a:ext>
                      </a:extLst>
                    </a:blip>
                    <a:srcRect l="33333" t="3688" r="23958" b="3838"/>
                    <a:stretch/>
                  </pic:blipFill>
                  <pic:spPr bwMode="auto">
                    <a:xfrm>
                      <a:off x="0" y="0"/>
                      <a:ext cx="2685902" cy="7664647"/>
                    </a:xfrm>
                    <a:prstGeom prst="rect">
                      <a:avLst/>
                    </a:prstGeom>
                    <a:ln>
                      <a:noFill/>
                    </a:ln>
                    <a:extLst>
                      <a:ext uri="{53640926-AAD7-44D8-BBD7-CCE9431645EC}">
                        <a14:shadowObscured xmlns:a14="http://schemas.microsoft.com/office/drawing/2010/main"/>
                      </a:ext>
                    </a:extLst>
                  </pic:spPr>
                </pic:pic>
              </a:graphicData>
            </a:graphic>
          </wp:inline>
        </w:drawing>
      </w:r>
      <w:r w:rsidR="00614A2E">
        <w:rPr>
          <w:noProof/>
          <w:color w:val="000000" w:themeColor="text1"/>
          <w:lang w:val="en-AU" w:eastAsia="en-AU"/>
        </w:rPr>
        <w:lastRenderedPageBreak/>
        <w:drawing>
          <wp:inline distT="0" distB="0" distL="0" distR="0" wp14:anchorId="6A5A06CC" wp14:editId="3847237A">
            <wp:extent cx="4858603" cy="6526554"/>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S2_Fieldresults_stratigraphy1-04.jpg"/>
                    <pic:cNvPicPr/>
                  </pic:nvPicPr>
                  <pic:blipFill rotWithShape="1">
                    <a:blip r:embed="rId11" cstate="print">
                      <a:extLst>
                        <a:ext uri="{28A0092B-C50C-407E-A947-70E740481C1C}">
                          <a14:useLocalDpi xmlns:a14="http://schemas.microsoft.com/office/drawing/2010/main" val="0"/>
                        </a:ext>
                      </a:extLst>
                    </a:blip>
                    <a:srcRect l="14679" t="4718" r="12170" b="20722"/>
                    <a:stretch/>
                  </pic:blipFill>
                  <pic:spPr bwMode="auto">
                    <a:xfrm>
                      <a:off x="0" y="0"/>
                      <a:ext cx="4868234" cy="6539492"/>
                    </a:xfrm>
                    <a:prstGeom prst="rect">
                      <a:avLst/>
                    </a:prstGeom>
                    <a:ln>
                      <a:noFill/>
                    </a:ln>
                    <a:extLst>
                      <a:ext uri="{53640926-AAD7-44D8-BBD7-CCE9431645EC}">
                        <a14:shadowObscured xmlns:a14="http://schemas.microsoft.com/office/drawing/2010/main"/>
                      </a:ext>
                    </a:extLst>
                  </pic:spPr>
                </pic:pic>
              </a:graphicData>
            </a:graphic>
          </wp:inline>
        </w:drawing>
      </w:r>
    </w:p>
    <w:p w14:paraId="39DF62F8" w14:textId="392796AD" w:rsidR="007720DB" w:rsidRDefault="007720DB" w:rsidP="00763285">
      <w:pPr>
        <w:pStyle w:val="Footnote"/>
      </w:pPr>
      <w:r w:rsidRPr="00482472">
        <w:rPr>
          <w:b/>
        </w:rPr>
        <w:t>Figure S4</w:t>
      </w:r>
      <w:r>
        <w:t>: Where observed, the stratigraphy of the Buffalo Hump Formation is con</w:t>
      </w:r>
      <w:r w:rsidR="00763285">
        <w:t>sistent with a shallow marine through fluvial-deltaic succession</w:t>
      </w:r>
      <w:r w:rsidR="00865650">
        <w:t xml:space="preserve"> in a basin that gained </w:t>
      </w:r>
      <w:r w:rsidR="00763285">
        <w:t>accommodation space faster th</w:t>
      </w:r>
      <w:r w:rsidR="00D84948">
        <w:t>an</w:t>
      </w:r>
      <w:r w:rsidR="00763285">
        <w:t xml:space="preserve"> sediment infill, resulting in retrogradation stacking</w:t>
      </w:r>
      <w:r w:rsidR="00F21710">
        <w:t xml:space="preserve"> (or transgressive systems tract; </w:t>
      </w:r>
      <w:r w:rsidR="00763285">
        <w:t>a</w:t>
      </w:r>
      <w:r w:rsidR="00741B6A">
        <w:t>fter Nea</w:t>
      </w:r>
      <w:r w:rsidR="00763285">
        <w:t>l and Abreu, 200</w:t>
      </w:r>
      <w:r w:rsidR="00F21710">
        <w:t>9). Similar depositional sequences in the coeval Uinta Mountain Group record a long-scale retrogradational system of large-lateral extent lithofacies across a broad, low-gradient basin floor in an epicontinental sea (Kingsbury-Stewart et al., 2</w:t>
      </w:r>
      <w:r w:rsidR="00541FFE">
        <w:t>013).</w:t>
      </w:r>
    </w:p>
    <w:p w14:paraId="7680DCF3" w14:textId="77777777" w:rsidR="007720DB" w:rsidRDefault="007720DB" w:rsidP="0016635D">
      <w:pPr>
        <w:rPr>
          <w:color w:val="000000" w:themeColor="text1"/>
        </w:rPr>
      </w:pPr>
    </w:p>
    <w:p w14:paraId="16481147" w14:textId="71B370B9" w:rsidR="00FB3949" w:rsidRDefault="00FB3949" w:rsidP="00FB3949">
      <w:pPr>
        <w:jc w:val="center"/>
        <w:rPr>
          <w:b/>
          <w:bCs/>
          <w:color w:val="000000" w:themeColor="text1"/>
          <w:kern w:val="32"/>
          <w:szCs w:val="24"/>
        </w:rPr>
      </w:pPr>
    </w:p>
    <w:p w14:paraId="4FBF4F92" w14:textId="3EE84F7A" w:rsidR="001E2B00" w:rsidRDefault="00E22485" w:rsidP="001E2B00">
      <w:pPr>
        <w:pStyle w:val="Footnote"/>
      </w:pPr>
      <w:r>
        <w:rPr>
          <w:noProof/>
          <w:lang w:val="en-AU" w:eastAsia="en-AU"/>
        </w:rPr>
        <w:lastRenderedPageBreak/>
        <w:drawing>
          <wp:inline distT="0" distB="0" distL="0" distR="0" wp14:anchorId="713DDE26" wp14:editId="5BE1E348">
            <wp:extent cx="5734050" cy="39480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7_depositional setting_revis2-01.jpg"/>
                    <pic:cNvPicPr/>
                  </pic:nvPicPr>
                  <pic:blipFill rotWithShape="1">
                    <a:blip r:embed="rId12" cstate="print">
                      <a:extLst>
                        <a:ext uri="{28A0092B-C50C-407E-A947-70E740481C1C}">
                          <a14:useLocalDpi xmlns:a14="http://schemas.microsoft.com/office/drawing/2010/main" val="0"/>
                        </a:ext>
                      </a:extLst>
                    </a:blip>
                    <a:srcRect l="39931" t="20258" r="7118" b="51569"/>
                    <a:stretch/>
                  </pic:blipFill>
                  <pic:spPr bwMode="auto">
                    <a:xfrm>
                      <a:off x="0" y="0"/>
                      <a:ext cx="5740618" cy="3952556"/>
                    </a:xfrm>
                    <a:prstGeom prst="rect">
                      <a:avLst/>
                    </a:prstGeom>
                    <a:ln>
                      <a:noFill/>
                    </a:ln>
                    <a:extLst>
                      <a:ext uri="{53640926-AAD7-44D8-BBD7-CCE9431645EC}">
                        <a14:shadowObscured xmlns:a14="http://schemas.microsoft.com/office/drawing/2010/main"/>
                      </a:ext>
                    </a:extLst>
                  </pic:spPr>
                </pic:pic>
              </a:graphicData>
            </a:graphic>
          </wp:inline>
        </w:drawing>
      </w:r>
      <w:r w:rsidR="00ED1297">
        <w:br/>
      </w:r>
      <w:r w:rsidR="001E2B00" w:rsidRPr="00482472">
        <w:rPr>
          <w:b/>
        </w:rPr>
        <w:t>Figure S5</w:t>
      </w:r>
      <w:r w:rsidR="001E2B00">
        <w:t>:</w:t>
      </w:r>
      <w:r w:rsidR="006D7414">
        <w:t xml:space="preserve"> Cartoon basin model</w:t>
      </w:r>
      <w:r w:rsidR="00DC2407">
        <w:t xml:space="preserve"> for the Buffalo Hump Formation. Detrital zircon</w:t>
      </w:r>
      <w:r w:rsidR="00B653B5">
        <w:t xml:space="preserve"> and stratigraphic results</w:t>
      </w:r>
      <w:r w:rsidR="00DC2407">
        <w:t xml:space="preserve"> are consistent with deposition of</w:t>
      </w:r>
      <w:r w:rsidR="00B653B5">
        <w:t xml:space="preserve"> the Buffalo Hump </w:t>
      </w:r>
      <w:r w:rsidR="006D7414">
        <w:t>Formation in an extensional basin, possibly a half-graben</w:t>
      </w:r>
      <w:r w:rsidR="00B653B5">
        <w:t xml:space="preserve"> resulting from a </w:t>
      </w:r>
      <w:r w:rsidR="003318B8">
        <w:t>Northeast-Southwest striking (</w:t>
      </w:r>
      <w:r w:rsidR="00B653B5">
        <w:t xml:space="preserve">NW dipping) ancestral Jump-off Joe </w:t>
      </w:r>
      <w:r w:rsidR="006D7414">
        <w:t xml:space="preserve">normal </w:t>
      </w:r>
      <w:r w:rsidR="00B653B5">
        <w:t xml:space="preserve">Fault. We suggest this basin exhumed Deer Trail group rocks on its footwall. </w:t>
      </w:r>
    </w:p>
    <w:p w14:paraId="5B191958" w14:textId="77777777" w:rsidR="00FB3949" w:rsidRDefault="00FB3949">
      <w:pPr>
        <w:rPr>
          <w:b/>
          <w:bCs/>
          <w:color w:val="000000" w:themeColor="text1"/>
          <w:kern w:val="32"/>
          <w:szCs w:val="24"/>
        </w:rPr>
      </w:pPr>
    </w:p>
    <w:p w14:paraId="40558531" w14:textId="77777777" w:rsidR="008344CE" w:rsidRDefault="008344CE">
      <w:pPr>
        <w:rPr>
          <w:b/>
          <w:bCs/>
          <w:color w:val="000000" w:themeColor="text1"/>
          <w:szCs w:val="24"/>
        </w:rPr>
      </w:pPr>
      <w:r>
        <w:rPr>
          <w:b/>
          <w:bCs/>
          <w:color w:val="000000" w:themeColor="text1"/>
          <w:szCs w:val="24"/>
        </w:rPr>
        <w:br w:type="page"/>
      </w:r>
    </w:p>
    <w:p w14:paraId="0B723B2D" w14:textId="4DA63BE8" w:rsidR="00B56CB1" w:rsidRDefault="008344CE">
      <w:pPr>
        <w:rPr>
          <w:b/>
          <w:bCs/>
          <w:color w:val="000000" w:themeColor="text1"/>
          <w:szCs w:val="24"/>
        </w:rPr>
      </w:pPr>
      <w:r>
        <w:rPr>
          <w:b/>
          <w:bCs/>
          <w:color w:val="000000" w:themeColor="text1"/>
          <w:szCs w:val="24"/>
        </w:rPr>
        <w:lastRenderedPageBreak/>
        <w:t>Paleocurrent measurements methodology and results</w:t>
      </w:r>
    </w:p>
    <w:p w14:paraId="7D552039" w14:textId="58E6D920" w:rsidR="00B56CB1" w:rsidRDefault="00B56CB1">
      <w:pPr>
        <w:rPr>
          <w:b/>
          <w:bCs/>
          <w:color w:val="000000" w:themeColor="text1"/>
          <w:szCs w:val="24"/>
        </w:rPr>
      </w:pPr>
    </w:p>
    <w:p w14:paraId="2B248B8D" w14:textId="77899980" w:rsidR="00B56CB1" w:rsidRPr="003F41A6" w:rsidRDefault="006D7414">
      <w:pPr>
        <w:rPr>
          <w:bCs/>
          <w:color w:val="000000" w:themeColor="text1"/>
          <w:szCs w:val="24"/>
        </w:rPr>
      </w:pPr>
      <w:r>
        <w:rPr>
          <w:bCs/>
          <w:color w:val="000000" w:themeColor="text1"/>
          <w:szCs w:val="24"/>
        </w:rPr>
        <w:t xml:space="preserve">Ripple foresets (mostly trough crossbeds, described by Evans, 1987 as festoon) were </w:t>
      </w:r>
      <w:r w:rsidR="003F41A6">
        <w:rPr>
          <w:bCs/>
          <w:color w:val="000000" w:themeColor="text1"/>
          <w:szCs w:val="24"/>
        </w:rPr>
        <w:t>measured from</w:t>
      </w:r>
      <w:r w:rsidR="005027A0" w:rsidRPr="005027A0">
        <w:rPr>
          <w:bCs/>
          <w:color w:val="000000" w:themeColor="text1"/>
          <w:szCs w:val="24"/>
        </w:rPr>
        <w:t xml:space="preserve"> </w:t>
      </w:r>
      <w:r w:rsidR="005027A0">
        <w:rPr>
          <w:bCs/>
          <w:color w:val="000000" w:themeColor="text1"/>
          <w:szCs w:val="24"/>
        </w:rPr>
        <w:t>within the sandy, likely deltaic, facies of</w:t>
      </w:r>
      <w:r w:rsidR="003F41A6">
        <w:rPr>
          <w:bCs/>
          <w:color w:val="000000" w:themeColor="text1"/>
          <w:szCs w:val="24"/>
        </w:rPr>
        <w:t xml:space="preserve"> both stratigraphic sections (Figs. S2, S3)</w:t>
      </w:r>
      <w:r w:rsidR="005027A0">
        <w:rPr>
          <w:bCs/>
          <w:color w:val="000000" w:themeColor="text1"/>
          <w:szCs w:val="24"/>
        </w:rPr>
        <w:t xml:space="preserve"> following methods similar to those descri</w:t>
      </w:r>
      <w:r w:rsidR="00790C0C">
        <w:rPr>
          <w:bCs/>
          <w:color w:val="000000" w:themeColor="text1"/>
          <w:szCs w:val="24"/>
        </w:rPr>
        <w:t>bed in</w:t>
      </w:r>
      <w:r w:rsidR="005027A0">
        <w:rPr>
          <w:bCs/>
          <w:color w:val="000000" w:themeColor="text1"/>
          <w:szCs w:val="24"/>
        </w:rPr>
        <w:t xml:space="preserve"> DeCelles et al., (1983)</w:t>
      </w:r>
      <w:r w:rsidR="00233314">
        <w:rPr>
          <w:bCs/>
          <w:color w:val="000000" w:themeColor="text1"/>
          <w:szCs w:val="24"/>
        </w:rPr>
        <w:t>. Foreset</w:t>
      </w:r>
      <w:r w:rsidR="003F41A6">
        <w:rPr>
          <w:bCs/>
          <w:color w:val="000000" w:themeColor="text1"/>
          <w:szCs w:val="24"/>
        </w:rPr>
        <w:t xml:space="preserve"> measurements were</w:t>
      </w:r>
      <w:r w:rsidR="006F755E">
        <w:rPr>
          <w:bCs/>
          <w:color w:val="000000" w:themeColor="text1"/>
          <w:szCs w:val="24"/>
        </w:rPr>
        <w:t xml:space="preserve"> </w:t>
      </w:r>
      <w:r w:rsidR="003F41A6">
        <w:rPr>
          <w:bCs/>
          <w:color w:val="000000" w:themeColor="text1"/>
          <w:szCs w:val="24"/>
        </w:rPr>
        <w:t>corrected for the dip of the beds using Stereonet 11 (</w:t>
      </w:r>
      <w:hyperlink r:id="rId13" w:history="1">
        <w:r w:rsidR="003F41A6">
          <w:rPr>
            <w:rStyle w:val="Hyperlink"/>
          </w:rPr>
          <w:t>http://www.geo.cornell.edu/geology/faculty/RWA/programs/stereonet.html</w:t>
        </w:r>
      </w:hyperlink>
      <w:r w:rsidR="003F41A6">
        <w:t>; Allmendinger et al., 2013; Cardozo and Allmendinger, 2013).</w:t>
      </w:r>
    </w:p>
    <w:p w14:paraId="5C58D856" w14:textId="3CE86251" w:rsidR="00B56CB1" w:rsidRDefault="00B56CB1">
      <w:pPr>
        <w:rPr>
          <w:b/>
          <w:bCs/>
          <w:color w:val="000000" w:themeColor="text1"/>
          <w:szCs w:val="24"/>
        </w:rPr>
      </w:pPr>
    </w:p>
    <w:p w14:paraId="3A1082A9" w14:textId="1CC0312F" w:rsidR="008E5768" w:rsidRDefault="008E5768">
      <w:pPr>
        <w:rPr>
          <w:b/>
          <w:bCs/>
          <w:color w:val="000000" w:themeColor="text1"/>
          <w:szCs w:val="24"/>
        </w:rPr>
      </w:pPr>
    </w:p>
    <w:p w14:paraId="142B888E" w14:textId="179B904F" w:rsidR="008E5768" w:rsidRDefault="008E5768">
      <w:pPr>
        <w:rPr>
          <w:b/>
          <w:bCs/>
          <w:color w:val="000000" w:themeColor="text1"/>
          <w:szCs w:val="24"/>
        </w:rPr>
      </w:pPr>
      <w:r>
        <w:rPr>
          <w:b/>
          <w:bCs/>
          <w:color w:val="000000" w:themeColor="text1"/>
          <w:szCs w:val="24"/>
        </w:rPr>
        <w:t xml:space="preserve">Table S1: </w:t>
      </w:r>
      <w:r w:rsidRPr="008E5768">
        <w:rPr>
          <w:bCs/>
          <w:color w:val="000000" w:themeColor="text1"/>
          <w:szCs w:val="24"/>
        </w:rPr>
        <w:t>Ripple foreset and bedding measurements</w:t>
      </w:r>
      <w:r w:rsidR="008B3C5E">
        <w:rPr>
          <w:bCs/>
          <w:color w:val="000000" w:themeColor="text1"/>
          <w:szCs w:val="24"/>
        </w:rPr>
        <w:t xml:space="preserve"> from both stratigraphic sections. Note measurements are in dip-direction, and dip. </w:t>
      </w:r>
    </w:p>
    <w:p w14:paraId="697F4FD8" w14:textId="77777777" w:rsidR="00B56CB1" w:rsidRDefault="00B56CB1">
      <w:pPr>
        <w:rPr>
          <w:sz w:val="20"/>
        </w:rPr>
      </w:pPr>
      <w:r>
        <w:fldChar w:fldCharType="begin"/>
      </w:r>
      <w:r>
        <w:instrText xml:space="preserve"> LINK Excel.SheetBinaryMacroEnabled.12 "C:\\Users\\19426721\\Dropbox\\Curtin\\Manuscripts_inprogress\\BuffHump_ChUMP\\Supp\\Beds.txt" "Sheet1!R4C14:R32C22" \a \f 4 \h </w:instrText>
      </w:r>
      <w:r>
        <w:fldChar w:fldCharType="separate"/>
      </w:r>
    </w:p>
    <w:tbl>
      <w:tblPr>
        <w:tblW w:w="8640" w:type="dxa"/>
        <w:tblLook w:val="04A0" w:firstRow="1" w:lastRow="0" w:firstColumn="1" w:lastColumn="0" w:noHBand="0" w:noVBand="1"/>
      </w:tblPr>
      <w:tblGrid>
        <w:gridCol w:w="1035"/>
        <w:gridCol w:w="885"/>
        <w:gridCol w:w="1035"/>
        <w:gridCol w:w="885"/>
        <w:gridCol w:w="960"/>
        <w:gridCol w:w="1035"/>
        <w:gridCol w:w="885"/>
        <w:gridCol w:w="1035"/>
        <w:gridCol w:w="885"/>
      </w:tblGrid>
      <w:tr w:rsidR="00B56CB1" w:rsidRPr="00B56CB1" w14:paraId="7AD8E37C" w14:textId="77777777" w:rsidTr="00B56CB1">
        <w:trPr>
          <w:trHeight w:val="315"/>
        </w:trPr>
        <w:tc>
          <w:tcPr>
            <w:tcW w:w="384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CD40A59" w14:textId="756CC99C" w:rsidR="00B56CB1" w:rsidRPr="00B56CB1" w:rsidRDefault="00B56CB1" w:rsidP="00B56CB1">
            <w:pPr>
              <w:jc w:val="center"/>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Section 1 Paleocurrent Measurements</w:t>
            </w:r>
          </w:p>
        </w:tc>
        <w:tc>
          <w:tcPr>
            <w:tcW w:w="960" w:type="dxa"/>
            <w:tcBorders>
              <w:top w:val="nil"/>
              <w:left w:val="nil"/>
              <w:bottom w:val="nil"/>
              <w:right w:val="nil"/>
            </w:tcBorders>
            <w:shd w:val="clear" w:color="auto" w:fill="auto"/>
            <w:noWrap/>
            <w:vAlign w:val="bottom"/>
            <w:hideMark/>
          </w:tcPr>
          <w:p w14:paraId="2D9DDE76" w14:textId="77777777" w:rsidR="00B56CB1" w:rsidRPr="00B56CB1" w:rsidRDefault="00B56CB1" w:rsidP="00B56CB1">
            <w:pPr>
              <w:jc w:val="center"/>
              <w:rPr>
                <w:rFonts w:ascii="Calibri" w:hAnsi="Calibri" w:cs="Calibri"/>
                <w:color w:val="000000"/>
                <w:sz w:val="22"/>
                <w:szCs w:val="22"/>
                <w:lang w:val="en-AU" w:eastAsia="en-AU"/>
              </w:rPr>
            </w:pPr>
          </w:p>
        </w:tc>
        <w:tc>
          <w:tcPr>
            <w:tcW w:w="384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C6C1E73" w14:textId="77777777" w:rsidR="00B56CB1" w:rsidRPr="00B56CB1" w:rsidRDefault="00B56CB1" w:rsidP="00B56CB1">
            <w:pPr>
              <w:jc w:val="center"/>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Section 2 Paleocurrent Measurements</w:t>
            </w:r>
          </w:p>
        </w:tc>
      </w:tr>
      <w:tr w:rsidR="00B56CB1" w:rsidRPr="00B56CB1" w14:paraId="4BBC9938" w14:textId="77777777" w:rsidTr="00B56CB1">
        <w:trPr>
          <w:trHeight w:val="315"/>
        </w:trPr>
        <w:tc>
          <w:tcPr>
            <w:tcW w:w="19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D9C17B6" w14:textId="77777777" w:rsidR="00B56CB1" w:rsidRPr="00B56CB1" w:rsidRDefault="00B56CB1" w:rsidP="00B56CB1">
            <w:pPr>
              <w:jc w:val="center"/>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ripple foreset (dd)</w:t>
            </w:r>
          </w:p>
        </w:tc>
        <w:tc>
          <w:tcPr>
            <w:tcW w:w="192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8469123" w14:textId="77777777" w:rsidR="00B56CB1" w:rsidRPr="00B56CB1" w:rsidRDefault="00B56CB1" w:rsidP="00B56CB1">
            <w:pPr>
              <w:jc w:val="center"/>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bedding (dd)</w:t>
            </w:r>
          </w:p>
        </w:tc>
        <w:tc>
          <w:tcPr>
            <w:tcW w:w="960" w:type="dxa"/>
            <w:tcBorders>
              <w:top w:val="nil"/>
              <w:left w:val="nil"/>
              <w:bottom w:val="nil"/>
              <w:right w:val="nil"/>
            </w:tcBorders>
            <w:shd w:val="clear" w:color="auto" w:fill="auto"/>
            <w:noWrap/>
            <w:vAlign w:val="bottom"/>
            <w:hideMark/>
          </w:tcPr>
          <w:p w14:paraId="663AB478" w14:textId="77777777" w:rsidR="00B56CB1" w:rsidRPr="00B56CB1" w:rsidRDefault="00B56CB1" w:rsidP="00B56CB1">
            <w:pPr>
              <w:jc w:val="center"/>
              <w:rPr>
                <w:rFonts w:ascii="Calibri" w:hAnsi="Calibri" w:cs="Calibri"/>
                <w:color w:val="000000"/>
                <w:sz w:val="22"/>
                <w:szCs w:val="22"/>
                <w:lang w:val="en-AU" w:eastAsia="en-AU"/>
              </w:rPr>
            </w:pPr>
          </w:p>
        </w:tc>
        <w:tc>
          <w:tcPr>
            <w:tcW w:w="19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52A47BE" w14:textId="77777777" w:rsidR="00B56CB1" w:rsidRPr="00B56CB1" w:rsidRDefault="00B56CB1" w:rsidP="00B56CB1">
            <w:pPr>
              <w:jc w:val="center"/>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ripple foreset (dd)</w:t>
            </w:r>
          </w:p>
        </w:tc>
        <w:tc>
          <w:tcPr>
            <w:tcW w:w="192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20F304B" w14:textId="77777777" w:rsidR="00B56CB1" w:rsidRPr="00B56CB1" w:rsidRDefault="00B56CB1" w:rsidP="00B56CB1">
            <w:pPr>
              <w:jc w:val="center"/>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bedding (dd)</w:t>
            </w:r>
          </w:p>
        </w:tc>
      </w:tr>
      <w:tr w:rsidR="00B56CB1" w:rsidRPr="00B56CB1" w14:paraId="7DBB44F9" w14:textId="77777777" w:rsidTr="00B56CB1">
        <w:trPr>
          <w:trHeight w:val="300"/>
        </w:trPr>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1D4EC972" w14:textId="77777777" w:rsidR="00B56CB1" w:rsidRPr="00B56CB1" w:rsidRDefault="00B56CB1" w:rsidP="00B56CB1">
            <w:pPr>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dd</w:t>
            </w:r>
          </w:p>
        </w:tc>
        <w:tc>
          <w:tcPr>
            <w:tcW w:w="885" w:type="dxa"/>
            <w:tcBorders>
              <w:top w:val="nil"/>
              <w:left w:val="nil"/>
              <w:bottom w:val="single" w:sz="4" w:space="0" w:color="auto"/>
              <w:right w:val="single" w:sz="4" w:space="0" w:color="auto"/>
            </w:tcBorders>
            <w:shd w:val="clear" w:color="auto" w:fill="auto"/>
            <w:noWrap/>
            <w:vAlign w:val="bottom"/>
            <w:hideMark/>
          </w:tcPr>
          <w:p w14:paraId="7292D48E" w14:textId="77777777" w:rsidR="00B56CB1" w:rsidRPr="00B56CB1" w:rsidRDefault="00B56CB1" w:rsidP="00B56CB1">
            <w:pPr>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dip</w:t>
            </w:r>
          </w:p>
        </w:tc>
        <w:tc>
          <w:tcPr>
            <w:tcW w:w="1035" w:type="dxa"/>
            <w:tcBorders>
              <w:top w:val="nil"/>
              <w:left w:val="nil"/>
              <w:bottom w:val="single" w:sz="4" w:space="0" w:color="auto"/>
              <w:right w:val="single" w:sz="4" w:space="0" w:color="auto"/>
            </w:tcBorders>
            <w:shd w:val="clear" w:color="auto" w:fill="auto"/>
            <w:noWrap/>
            <w:vAlign w:val="bottom"/>
            <w:hideMark/>
          </w:tcPr>
          <w:p w14:paraId="05F149FE" w14:textId="77777777" w:rsidR="00B56CB1" w:rsidRPr="00B56CB1" w:rsidRDefault="00B56CB1" w:rsidP="00B56CB1">
            <w:pPr>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dd</w:t>
            </w:r>
          </w:p>
        </w:tc>
        <w:tc>
          <w:tcPr>
            <w:tcW w:w="885" w:type="dxa"/>
            <w:tcBorders>
              <w:top w:val="nil"/>
              <w:left w:val="nil"/>
              <w:bottom w:val="single" w:sz="4" w:space="0" w:color="auto"/>
              <w:right w:val="single" w:sz="8" w:space="0" w:color="auto"/>
            </w:tcBorders>
            <w:shd w:val="clear" w:color="auto" w:fill="auto"/>
            <w:noWrap/>
            <w:vAlign w:val="bottom"/>
            <w:hideMark/>
          </w:tcPr>
          <w:p w14:paraId="14B0593D" w14:textId="77777777" w:rsidR="00B56CB1" w:rsidRPr="00B56CB1" w:rsidRDefault="00B56CB1" w:rsidP="00B56CB1">
            <w:pPr>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dip</w:t>
            </w:r>
          </w:p>
        </w:tc>
        <w:tc>
          <w:tcPr>
            <w:tcW w:w="960" w:type="dxa"/>
            <w:tcBorders>
              <w:top w:val="nil"/>
              <w:left w:val="nil"/>
              <w:bottom w:val="nil"/>
              <w:right w:val="nil"/>
            </w:tcBorders>
            <w:shd w:val="clear" w:color="auto" w:fill="auto"/>
            <w:noWrap/>
            <w:vAlign w:val="bottom"/>
            <w:hideMark/>
          </w:tcPr>
          <w:p w14:paraId="4C5C22F8" w14:textId="77777777" w:rsidR="00B56CB1" w:rsidRPr="00B56CB1" w:rsidRDefault="00B56CB1" w:rsidP="00B56CB1">
            <w:pPr>
              <w:rPr>
                <w:rFonts w:ascii="Calibri" w:hAnsi="Calibri" w:cs="Calibri"/>
                <w:color w:val="000000"/>
                <w:sz w:val="22"/>
                <w:szCs w:val="22"/>
                <w:lang w:val="en-AU" w:eastAsia="en-AU"/>
              </w:rPr>
            </w:pPr>
          </w:p>
        </w:tc>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05B66B93" w14:textId="77777777" w:rsidR="00B56CB1" w:rsidRPr="00B56CB1" w:rsidRDefault="00B56CB1" w:rsidP="00B56CB1">
            <w:pPr>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dd</w:t>
            </w:r>
          </w:p>
        </w:tc>
        <w:tc>
          <w:tcPr>
            <w:tcW w:w="885" w:type="dxa"/>
            <w:tcBorders>
              <w:top w:val="nil"/>
              <w:left w:val="nil"/>
              <w:bottom w:val="single" w:sz="4" w:space="0" w:color="auto"/>
              <w:right w:val="single" w:sz="4" w:space="0" w:color="auto"/>
            </w:tcBorders>
            <w:shd w:val="clear" w:color="auto" w:fill="auto"/>
            <w:noWrap/>
            <w:vAlign w:val="bottom"/>
            <w:hideMark/>
          </w:tcPr>
          <w:p w14:paraId="424993F5" w14:textId="77777777" w:rsidR="00B56CB1" w:rsidRPr="00B56CB1" w:rsidRDefault="00B56CB1" w:rsidP="00B56CB1">
            <w:pPr>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dip</w:t>
            </w:r>
          </w:p>
        </w:tc>
        <w:tc>
          <w:tcPr>
            <w:tcW w:w="1035" w:type="dxa"/>
            <w:tcBorders>
              <w:top w:val="nil"/>
              <w:left w:val="nil"/>
              <w:bottom w:val="single" w:sz="4" w:space="0" w:color="auto"/>
              <w:right w:val="single" w:sz="4" w:space="0" w:color="auto"/>
            </w:tcBorders>
            <w:shd w:val="clear" w:color="auto" w:fill="auto"/>
            <w:noWrap/>
            <w:vAlign w:val="bottom"/>
            <w:hideMark/>
          </w:tcPr>
          <w:p w14:paraId="1BBE08A1" w14:textId="77777777" w:rsidR="00B56CB1" w:rsidRPr="00B56CB1" w:rsidRDefault="00B56CB1" w:rsidP="00B56CB1">
            <w:pPr>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dd</w:t>
            </w:r>
          </w:p>
        </w:tc>
        <w:tc>
          <w:tcPr>
            <w:tcW w:w="885" w:type="dxa"/>
            <w:tcBorders>
              <w:top w:val="nil"/>
              <w:left w:val="nil"/>
              <w:bottom w:val="single" w:sz="4" w:space="0" w:color="auto"/>
              <w:right w:val="single" w:sz="8" w:space="0" w:color="auto"/>
            </w:tcBorders>
            <w:shd w:val="clear" w:color="auto" w:fill="auto"/>
            <w:noWrap/>
            <w:vAlign w:val="bottom"/>
            <w:hideMark/>
          </w:tcPr>
          <w:p w14:paraId="645DCE2B" w14:textId="77777777" w:rsidR="00B56CB1" w:rsidRPr="00B56CB1" w:rsidRDefault="00B56CB1" w:rsidP="00B56CB1">
            <w:pPr>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dip</w:t>
            </w:r>
          </w:p>
        </w:tc>
      </w:tr>
      <w:tr w:rsidR="00B56CB1" w:rsidRPr="00B56CB1" w14:paraId="5F96236C" w14:textId="77777777" w:rsidTr="00B56CB1">
        <w:trPr>
          <w:trHeight w:val="300"/>
        </w:trPr>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1452003E"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315</w:t>
            </w:r>
          </w:p>
        </w:tc>
        <w:tc>
          <w:tcPr>
            <w:tcW w:w="885" w:type="dxa"/>
            <w:tcBorders>
              <w:top w:val="nil"/>
              <w:left w:val="nil"/>
              <w:bottom w:val="single" w:sz="4" w:space="0" w:color="auto"/>
              <w:right w:val="single" w:sz="4" w:space="0" w:color="auto"/>
            </w:tcBorders>
            <w:shd w:val="clear" w:color="auto" w:fill="auto"/>
            <w:noWrap/>
            <w:vAlign w:val="bottom"/>
            <w:hideMark/>
          </w:tcPr>
          <w:p w14:paraId="28E000B3"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63</w:t>
            </w:r>
          </w:p>
        </w:tc>
        <w:tc>
          <w:tcPr>
            <w:tcW w:w="1035" w:type="dxa"/>
            <w:tcBorders>
              <w:top w:val="nil"/>
              <w:left w:val="nil"/>
              <w:bottom w:val="single" w:sz="4" w:space="0" w:color="auto"/>
              <w:right w:val="single" w:sz="4" w:space="0" w:color="auto"/>
            </w:tcBorders>
            <w:shd w:val="clear" w:color="auto" w:fill="auto"/>
            <w:noWrap/>
            <w:vAlign w:val="bottom"/>
            <w:hideMark/>
          </w:tcPr>
          <w:p w14:paraId="34879304"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333</w:t>
            </w:r>
          </w:p>
        </w:tc>
        <w:tc>
          <w:tcPr>
            <w:tcW w:w="885" w:type="dxa"/>
            <w:tcBorders>
              <w:top w:val="nil"/>
              <w:left w:val="nil"/>
              <w:bottom w:val="single" w:sz="4" w:space="0" w:color="auto"/>
              <w:right w:val="single" w:sz="8" w:space="0" w:color="auto"/>
            </w:tcBorders>
            <w:shd w:val="clear" w:color="auto" w:fill="auto"/>
            <w:noWrap/>
            <w:vAlign w:val="bottom"/>
            <w:hideMark/>
          </w:tcPr>
          <w:p w14:paraId="501FDEF0"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54</w:t>
            </w:r>
          </w:p>
        </w:tc>
        <w:tc>
          <w:tcPr>
            <w:tcW w:w="960" w:type="dxa"/>
            <w:tcBorders>
              <w:top w:val="nil"/>
              <w:left w:val="nil"/>
              <w:bottom w:val="nil"/>
              <w:right w:val="nil"/>
            </w:tcBorders>
            <w:shd w:val="clear" w:color="auto" w:fill="auto"/>
            <w:noWrap/>
            <w:vAlign w:val="bottom"/>
            <w:hideMark/>
          </w:tcPr>
          <w:p w14:paraId="71B878E6" w14:textId="77777777" w:rsidR="00B56CB1" w:rsidRPr="00B56CB1" w:rsidRDefault="00B56CB1" w:rsidP="00B56CB1">
            <w:pPr>
              <w:jc w:val="right"/>
              <w:rPr>
                <w:rFonts w:ascii="Calibri" w:hAnsi="Calibri" w:cs="Calibri"/>
                <w:color w:val="000000"/>
                <w:sz w:val="22"/>
                <w:szCs w:val="22"/>
                <w:lang w:val="en-AU" w:eastAsia="en-AU"/>
              </w:rPr>
            </w:pPr>
          </w:p>
        </w:tc>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4D02F5FB"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315</w:t>
            </w:r>
          </w:p>
        </w:tc>
        <w:tc>
          <w:tcPr>
            <w:tcW w:w="885" w:type="dxa"/>
            <w:tcBorders>
              <w:top w:val="nil"/>
              <w:left w:val="nil"/>
              <w:bottom w:val="single" w:sz="4" w:space="0" w:color="auto"/>
              <w:right w:val="single" w:sz="4" w:space="0" w:color="auto"/>
            </w:tcBorders>
            <w:shd w:val="clear" w:color="auto" w:fill="auto"/>
            <w:noWrap/>
            <w:vAlign w:val="bottom"/>
            <w:hideMark/>
          </w:tcPr>
          <w:p w14:paraId="05A383B7"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50</w:t>
            </w:r>
          </w:p>
        </w:tc>
        <w:tc>
          <w:tcPr>
            <w:tcW w:w="1035" w:type="dxa"/>
            <w:tcBorders>
              <w:top w:val="nil"/>
              <w:left w:val="nil"/>
              <w:bottom w:val="single" w:sz="4" w:space="0" w:color="auto"/>
              <w:right w:val="single" w:sz="4" w:space="0" w:color="auto"/>
            </w:tcBorders>
            <w:shd w:val="clear" w:color="auto" w:fill="auto"/>
            <w:noWrap/>
            <w:vAlign w:val="bottom"/>
            <w:hideMark/>
          </w:tcPr>
          <w:p w14:paraId="6D00BBAD"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324</w:t>
            </w:r>
          </w:p>
        </w:tc>
        <w:tc>
          <w:tcPr>
            <w:tcW w:w="885" w:type="dxa"/>
            <w:tcBorders>
              <w:top w:val="nil"/>
              <w:left w:val="nil"/>
              <w:bottom w:val="single" w:sz="4" w:space="0" w:color="auto"/>
              <w:right w:val="single" w:sz="8" w:space="0" w:color="auto"/>
            </w:tcBorders>
            <w:shd w:val="clear" w:color="auto" w:fill="auto"/>
            <w:noWrap/>
            <w:vAlign w:val="bottom"/>
            <w:hideMark/>
          </w:tcPr>
          <w:p w14:paraId="502CBE87"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46</w:t>
            </w:r>
          </w:p>
        </w:tc>
      </w:tr>
      <w:tr w:rsidR="00B56CB1" w:rsidRPr="00B56CB1" w14:paraId="0912CA70" w14:textId="77777777" w:rsidTr="00B56CB1">
        <w:trPr>
          <w:trHeight w:val="300"/>
        </w:trPr>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1DD9D308"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295</w:t>
            </w:r>
          </w:p>
        </w:tc>
        <w:tc>
          <w:tcPr>
            <w:tcW w:w="885" w:type="dxa"/>
            <w:tcBorders>
              <w:top w:val="nil"/>
              <w:left w:val="nil"/>
              <w:bottom w:val="single" w:sz="4" w:space="0" w:color="auto"/>
              <w:right w:val="single" w:sz="4" w:space="0" w:color="auto"/>
            </w:tcBorders>
            <w:shd w:val="clear" w:color="auto" w:fill="auto"/>
            <w:noWrap/>
            <w:vAlign w:val="bottom"/>
            <w:hideMark/>
          </w:tcPr>
          <w:p w14:paraId="4881A9DB"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63</w:t>
            </w:r>
          </w:p>
        </w:tc>
        <w:tc>
          <w:tcPr>
            <w:tcW w:w="1035" w:type="dxa"/>
            <w:tcBorders>
              <w:top w:val="nil"/>
              <w:left w:val="nil"/>
              <w:bottom w:val="single" w:sz="4" w:space="0" w:color="auto"/>
              <w:right w:val="single" w:sz="4" w:space="0" w:color="auto"/>
            </w:tcBorders>
            <w:shd w:val="clear" w:color="auto" w:fill="auto"/>
            <w:noWrap/>
            <w:vAlign w:val="bottom"/>
            <w:hideMark/>
          </w:tcPr>
          <w:p w14:paraId="315E0921"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313</w:t>
            </w:r>
          </w:p>
        </w:tc>
        <w:tc>
          <w:tcPr>
            <w:tcW w:w="885" w:type="dxa"/>
            <w:tcBorders>
              <w:top w:val="nil"/>
              <w:left w:val="nil"/>
              <w:bottom w:val="single" w:sz="4" w:space="0" w:color="auto"/>
              <w:right w:val="single" w:sz="8" w:space="0" w:color="auto"/>
            </w:tcBorders>
            <w:shd w:val="clear" w:color="auto" w:fill="auto"/>
            <w:noWrap/>
            <w:vAlign w:val="bottom"/>
            <w:hideMark/>
          </w:tcPr>
          <w:p w14:paraId="7F911745"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56</w:t>
            </w:r>
          </w:p>
        </w:tc>
        <w:tc>
          <w:tcPr>
            <w:tcW w:w="960" w:type="dxa"/>
            <w:tcBorders>
              <w:top w:val="nil"/>
              <w:left w:val="nil"/>
              <w:bottom w:val="nil"/>
              <w:right w:val="nil"/>
            </w:tcBorders>
            <w:shd w:val="clear" w:color="auto" w:fill="auto"/>
            <w:noWrap/>
            <w:vAlign w:val="bottom"/>
            <w:hideMark/>
          </w:tcPr>
          <w:p w14:paraId="7C369B90" w14:textId="77777777" w:rsidR="00B56CB1" w:rsidRPr="00B56CB1" w:rsidRDefault="00B56CB1" w:rsidP="00B56CB1">
            <w:pPr>
              <w:jc w:val="right"/>
              <w:rPr>
                <w:rFonts w:ascii="Calibri" w:hAnsi="Calibri" w:cs="Calibri"/>
                <w:color w:val="000000"/>
                <w:sz w:val="22"/>
                <w:szCs w:val="22"/>
                <w:lang w:val="en-AU" w:eastAsia="en-AU"/>
              </w:rPr>
            </w:pPr>
          </w:p>
        </w:tc>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55FAD9EC"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339</w:t>
            </w:r>
          </w:p>
        </w:tc>
        <w:tc>
          <w:tcPr>
            <w:tcW w:w="885" w:type="dxa"/>
            <w:tcBorders>
              <w:top w:val="nil"/>
              <w:left w:val="nil"/>
              <w:bottom w:val="single" w:sz="4" w:space="0" w:color="auto"/>
              <w:right w:val="single" w:sz="4" w:space="0" w:color="auto"/>
            </w:tcBorders>
            <w:shd w:val="clear" w:color="auto" w:fill="auto"/>
            <w:noWrap/>
            <w:vAlign w:val="bottom"/>
            <w:hideMark/>
          </w:tcPr>
          <w:p w14:paraId="13872142"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66</w:t>
            </w:r>
          </w:p>
        </w:tc>
        <w:tc>
          <w:tcPr>
            <w:tcW w:w="1035" w:type="dxa"/>
            <w:tcBorders>
              <w:top w:val="nil"/>
              <w:left w:val="nil"/>
              <w:bottom w:val="single" w:sz="4" w:space="0" w:color="auto"/>
              <w:right w:val="single" w:sz="4" w:space="0" w:color="auto"/>
            </w:tcBorders>
            <w:shd w:val="clear" w:color="auto" w:fill="auto"/>
            <w:noWrap/>
            <w:vAlign w:val="bottom"/>
            <w:hideMark/>
          </w:tcPr>
          <w:p w14:paraId="42139161"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324</w:t>
            </w:r>
          </w:p>
        </w:tc>
        <w:tc>
          <w:tcPr>
            <w:tcW w:w="885" w:type="dxa"/>
            <w:tcBorders>
              <w:top w:val="nil"/>
              <w:left w:val="nil"/>
              <w:bottom w:val="single" w:sz="4" w:space="0" w:color="auto"/>
              <w:right w:val="single" w:sz="8" w:space="0" w:color="auto"/>
            </w:tcBorders>
            <w:shd w:val="clear" w:color="auto" w:fill="auto"/>
            <w:noWrap/>
            <w:vAlign w:val="bottom"/>
            <w:hideMark/>
          </w:tcPr>
          <w:p w14:paraId="03BD1D1E"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46</w:t>
            </w:r>
          </w:p>
        </w:tc>
      </w:tr>
      <w:tr w:rsidR="00B56CB1" w:rsidRPr="00B56CB1" w14:paraId="057F2773" w14:textId="77777777" w:rsidTr="00B56CB1">
        <w:trPr>
          <w:trHeight w:val="300"/>
        </w:trPr>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30ECE98E"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297</w:t>
            </w:r>
          </w:p>
        </w:tc>
        <w:tc>
          <w:tcPr>
            <w:tcW w:w="885" w:type="dxa"/>
            <w:tcBorders>
              <w:top w:val="nil"/>
              <w:left w:val="nil"/>
              <w:bottom w:val="single" w:sz="4" w:space="0" w:color="auto"/>
              <w:right w:val="single" w:sz="4" w:space="0" w:color="auto"/>
            </w:tcBorders>
            <w:shd w:val="clear" w:color="auto" w:fill="auto"/>
            <w:noWrap/>
            <w:vAlign w:val="bottom"/>
            <w:hideMark/>
          </w:tcPr>
          <w:p w14:paraId="0BC8AF47"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58</w:t>
            </w:r>
          </w:p>
        </w:tc>
        <w:tc>
          <w:tcPr>
            <w:tcW w:w="1035" w:type="dxa"/>
            <w:tcBorders>
              <w:top w:val="nil"/>
              <w:left w:val="nil"/>
              <w:bottom w:val="single" w:sz="4" w:space="0" w:color="auto"/>
              <w:right w:val="single" w:sz="4" w:space="0" w:color="auto"/>
            </w:tcBorders>
            <w:shd w:val="clear" w:color="auto" w:fill="auto"/>
            <w:noWrap/>
            <w:vAlign w:val="bottom"/>
            <w:hideMark/>
          </w:tcPr>
          <w:p w14:paraId="2CF8DD3C"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313</w:t>
            </w:r>
          </w:p>
        </w:tc>
        <w:tc>
          <w:tcPr>
            <w:tcW w:w="885" w:type="dxa"/>
            <w:tcBorders>
              <w:top w:val="nil"/>
              <w:left w:val="nil"/>
              <w:bottom w:val="single" w:sz="4" w:space="0" w:color="auto"/>
              <w:right w:val="single" w:sz="8" w:space="0" w:color="auto"/>
            </w:tcBorders>
            <w:shd w:val="clear" w:color="auto" w:fill="auto"/>
            <w:noWrap/>
            <w:vAlign w:val="bottom"/>
            <w:hideMark/>
          </w:tcPr>
          <w:p w14:paraId="624C013D"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64</w:t>
            </w:r>
          </w:p>
        </w:tc>
        <w:tc>
          <w:tcPr>
            <w:tcW w:w="960" w:type="dxa"/>
            <w:tcBorders>
              <w:top w:val="nil"/>
              <w:left w:val="nil"/>
              <w:bottom w:val="nil"/>
              <w:right w:val="nil"/>
            </w:tcBorders>
            <w:shd w:val="clear" w:color="auto" w:fill="auto"/>
            <w:noWrap/>
            <w:vAlign w:val="bottom"/>
            <w:hideMark/>
          </w:tcPr>
          <w:p w14:paraId="18D87514" w14:textId="77777777" w:rsidR="00B56CB1" w:rsidRPr="00B56CB1" w:rsidRDefault="00B56CB1" w:rsidP="00B56CB1">
            <w:pPr>
              <w:jc w:val="right"/>
              <w:rPr>
                <w:rFonts w:ascii="Calibri" w:hAnsi="Calibri" w:cs="Calibri"/>
                <w:color w:val="000000"/>
                <w:sz w:val="22"/>
                <w:szCs w:val="22"/>
                <w:lang w:val="en-AU" w:eastAsia="en-AU"/>
              </w:rPr>
            </w:pPr>
          </w:p>
        </w:tc>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431033AB"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342</w:t>
            </w:r>
          </w:p>
        </w:tc>
        <w:tc>
          <w:tcPr>
            <w:tcW w:w="885" w:type="dxa"/>
            <w:tcBorders>
              <w:top w:val="nil"/>
              <w:left w:val="nil"/>
              <w:bottom w:val="single" w:sz="4" w:space="0" w:color="auto"/>
              <w:right w:val="single" w:sz="4" w:space="0" w:color="auto"/>
            </w:tcBorders>
            <w:shd w:val="clear" w:color="auto" w:fill="auto"/>
            <w:noWrap/>
            <w:vAlign w:val="bottom"/>
            <w:hideMark/>
          </w:tcPr>
          <w:p w14:paraId="5F9AF1D3"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45</w:t>
            </w:r>
          </w:p>
        </w:tc>
        <w:tc>
          <w:tcPr>
            <w:tcW w:w="1035" w:type="dxa"/>
            <w:tcBorders>
              <w:top w:val="nil"/>
              <w:left w:val="nil"/>
              <w:bottom w:val="single" w:sz="4" w:space="0" w:color="auto"/>
              <w:right w:val="single" w:sz="4" w:space="0" w:color="auto"/>
            </w:tcBorders>
            <w:shd w:val="clear" w:color="auto" w:fill="auto"/>
            <w:noWrap/>
            <w:vAlign w:val="bottom"/>
            <w:hideMark/>
          </w:tcPr>
          <w:p w14:paraId="563C0929"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308</w:t>
            </w:r>
          </w:p>
        </w:tc>
        <w:tc>
          <w:tcPr>
            <w:tcW w:w="885" w:type="dxa"/>
            <w:tcBorders>
              <w:top w:val="nil"/>
              <w:left w:val="nil"/>
              <w:bottom w:val="single" w:sz="4" w:space="0" w:color="auto"/>
              <w:right w:val="single" w:sz="8" w:space="0" w:color="auto"/>
            </w:tcBorders>
            <w:shd w:val="clear" w:color="auto" w:fill="auto"/>
            <w:noWrap/>
            <w:vAlign w:val="bottom"/>
            <w:hideMark/>
          </w:tcPr>
          <w:p w14:paraId="58385E1B"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43</w:t>
            </w:r>
          </w:p>
        </w:tc>
      </w:tr>
      <w:tr w:rsidR="00B56CB1" w:rsidRPr="00B56CB1" w14:paraId="19C7A134" w14:textId="77777777" w:rsidTr="00B56CB1">
        <w:trPr>
          <w:trHeight w:val="300"/>
        </w:trPr>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7A1920FE"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349</w:t>
            </w:r>
          </w:p>
        </w:tc>
        <w:tc>
          <w:tcPr>
            <w:tcW w:w="885" w:type="dxa"/>
            <w:tcBorders>
              <w:top w:val="nil"/>
              <w:left w:val="nil"/>
              <w:bottom w:val="single" w:sz="4" w:space="0" w:color="auto"/>
              <w:right w:val="single" w:sz="4" w:space="0" w:color="auto"/>
            </w:tcBorders>
            <w:shd w:val="clear" w:color="auto" w:fill="auto"/>
            <w:noWrap/>
            <w:vAlign w:val="bottom"/>
            <w:hideMark/>
          </w:tcPr>
          <w:p w14:paraId="3113B5A6"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64</w:t>
            </w:r>
          </w:p>
        </w:tc>
        <w:tc>
          <w:tcPr>
            <w:tcW w:w="1035" w:type="dxa"/>
            <w:tcBorders>
              <w:top w:val="nil"/>
              <w:left w:val="nil"/>
              <w:bottom w:val="single" w:sz="4" w:space="0" w:color="auto"/>
              <w:right w:val="single" w:sz="4" w:space="0" w:color="auto"/>
            </w:tcBorders>
            <w:shd w:val="clear" w:color="auto" w:fill="auto"/>
            <w:noWrap/>
            <w:vAlign w:val="bottom"/>
            <w:hideMark/>
          </w:tcPr>
          <w:p w14:paraId="5C2C6111"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345</w:t>
            </w:r>
          </w:p>
        </w:tc>
        <w:tc>
          <w:tcPr>
            <w:tcW w:w="885" w:type="dxa"/>
            <w:tcBorders>
              <w:top w:val="nil"/>
              <w:left w:val="nil"/>
              <w:bottom w:val="single" w:sz="4" w:space="0" w:color="auto"/>
              <w:right w:val="single" w:sz="8" w:space="0" w:color="auto"/>
            </w:tcBorders>
            <w:shd w:val="clear" w:color="auto" w:fill="auto"/>
            <w:noWrap/>
            <w:vAlign w:val="bottom"/>
            <w:hideMark/>
          </w:tcPr>
          <w:p w14:paraId="2D94B91F"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66</w:t>
            </w:r>
          </w:p>
        </w:tc>
        <w:tc>
          <w:tcPr>
            <w:tcW w:w="960" w:type="dxa"/>
            <w:tcBorders>
              <w:top w:val="nil"/>
              <w:left w:val="nil"/>
              <w:bottom w:val="nil"/>
              <w:right w:val="nil"/>
            </w:tcBorders>
            <w:shd w:val="clear" w:color="auto" w:fill="auto"/>
            <w:noWrap/>
            <w:vAlign w:val="bottom"/>
            <w:hideMark/>
          </w:tcPr>
          <w:p w14:paraId="3D8E9BF9" w14:textId="77777777" w:rsidR="00B56CB1" w:rsidRPr="00B56CB1" w:rsidRDefault="00B56CB1" w:rsidP="00B56CB1">
            <w:pPr>
              <w:jc w:val="right"/>
              <w:rPr>
                <w:rFonts w:ascii="Calibri" w:hAnsi="Calibri" w:cs="Calibri"/>
                <w:color w:val="000000"/>
                <w:sz w:val="22"/>
                <w:szCs w:val="22"/>
                <w:lang w:val="en-AU" w:eastAsia="en-AU"/>
              </w:rPr>
            </w:pPr>
          </w:p>
        </w:tc>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230284C3"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310</w:t>
            </w:r>
          </w:p>
        </w:tc>
        <w:tc>
          <w:tcPr>
            <w:tcW w:w="885" w:type="dxa"/>
            <w:tcBorders>
              <w:top w:val="nil"/>
              <w:left w:val="nil"/>
              <w:bottom w:val="single" w:sz="4" w:space="0" w:color="auto"/>
              <w:right w:val="single" w:sz="4" w:space="0" w:color="auto"/>
            </w:tcBorders>
            <w:shd w:val="clear" w:color="auto" w:fill="auto"/>
            <w:noWrap/>
            <w:vAlign w:val="bottom"/>
            <w:hideMark/>
          </w:tcPr>
          <w:p w14:paraId="32ABF67F"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47</w:t>
            </w:r>
          </w:p>
        </w:tc>
        <w:tc>
          <w:tcPr>
            <w:tcW w:w="1035" w:type="dxa"/>
            <w:tcBorders>
              <w:top w:val="nil"/>
              <w:left w:val="nil"/>
              <w:bottom w:val="single" w:sz="4" w:space="0" w:color="auto"/>
              <w:right w:val="single" w:sz="4" w:space="0" w:color="auto"/>
            </w:tcBorders>
            <w:shd w:val="clear" w:color="auto" w:fill="auto"/>
            <w:noWrap/>
            <w:vAlign w:val="bottom"/>
            <w:hideMark/>
          </w:tcPr>
          <w:p w14:paraId="0A1C2ED2"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317</w:t>
            </w:r>
          </w:p>
        </w:tc>
        <w:tc>
          <w:tcPr>
            <w:tcW w:w="885" w:type="dxa"/>
            <w:tcBorders>
              <w:top w:val="nil"/>
              <w:left w:val="nil"/>
              <w:bottom w:val="single" w:sz="4" w:space="0" w:color="auto"/>
              <w:right w:val="single" w:sz="8" w:space="0" w:color="auto"/>
            </w:tcBorders>
            <w:shd w:val="clear" w:color="auto" w:fill="auto"/>
            <w:noWrap/>
            <w:vAlign w:val="bottom"/>
            <w:hideMark/>
          </w:tcPr>
          <w:p w14:paraId="763CE91B"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42</w:t>
            </w:r>
          </w:p>
        </w:tc>
      </w:tr>
      <w:tr w:rsidR="00B56CB1" w:rsidRPr="00B56CB1" w14:paraId="72A73923" w14:textId="77777777" w:rsidTr="00B56CB1">
        <w:trPr>
          <w:trHeight w:val="300"/>
        </w:trPr>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1A800D0D"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312</w:t>
            </w:r>
          </w:p>
        </w:tc>
        <w:tc>
          <w:tcPr>
            <w:tcW w:w="885" w:type="dxa"/>
            <w:tcBorders>
              <w:top w:val="nil"/>
              <w:left w:val="nil"/>
              <w:bottom w:val="single" w:sz="4" w:space="0" w:color="auto"/>
              <w:right w:val="single" w:sz="4" w:space="0" w:color="auto"/>
            </w:tcBorders>
            <w:shd w:val="clear" w:color="auto" w:fill="auto"/>
            <w:noWrap/>
            <w:vAlign w:val="bottom"/>
            <w:hideMark/>
          </w:tcPr>
          <w:p w14:paraId="3D81784D"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88</w:t>
            </w:r>
          </w:p>
        </w:tc>
        <w:tc>
          <w:tcPr>
            <w:tcW w:w="1035" w:type="dxa"/>
            <w:tcBorders>
              <w:top w:val="nil"/>
              <w:left w:val="nil"/>
              <w:bottom w:val="single" w:sz="4" w:space="0" w:color="auto"/>
              <w:right w:val="single" w:sz="4" w:space="0" w:color="auto"/>
            </w:tcBorders>
            <w:shd w:val="clear" w:color="auto" w:fill="auto"/>
            <w:noWrap/>
            <w:vAlign w:val="bottom"/>
            <w:hideMark/>
          </w:tcPr>
          <w:p w14:paraId="2AF0EDE0"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320</w:t>
            </w:r>
          </w:p>
        </w:tc>
        <w:tc>
          <w:tcPr>
            <w:tcW w:w="885" w:type="dxa"/>
            <w:tcBorders>
              <w:top w:val="nil"/>
              <w:left w:val="nil"/>
              <w:bottom w:val="single" w:sz="4" w:space="0" w:color="auto"/>
              <w:right w:val="single" w:sz="8" w:space="0" w:color="auto"/>
            </w:tcBorders>
            <w:shd w:val="clear" w:color="auto" w:fill="auto"/>
            <w:noWrap/>
            <w:vAlign w:val="bottom"/>
            <w:hideMark/>
          </w:tcPr>
          <w:p w14:paraId="77E28449"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74</w:t>
            </w:r>
          </w:p>
        </w:tc>
        <w:tc>
          <w:tcPr>
            <w:tcW w:w="960" w:type="dxa"/>
            <w:tcBorders>
              <w:top w:val="nil"/>
              <w:left w:val="nil"/>
              <w:bottom w:val="nil"/>
              <w:right w:val="nil"/>
            </w:tcBorders>
            <w:shd w:val="clear" w:color="auto" w:fill="auto"/>
            <w:noWrap/>
            <w:vAlign w:val="bottom"/>
            <w:hideMark/>
          </w:tcPr>
          <w:p w14:paraId="47F9E386" w14:textId="77777777" w:rsidR="00B56CB1" w:rsidRPr="00B56CB1" w:rsidRDefault="00B56CB1" w:rsidP="00B56CB1">
            <w:pPr>
              <w:jc w:val="right"/>
              <w:rPr>
                <w:rFonts w:ascii="Calibri" w:hAnsi="Calibri" w:cs="Calibri"/>
                <w:color w:val="000000"/>
                <w:sz w:val="22"/>
                <w:szCs w:val="22"/>
                <w:lang w:val="en-AU" w:eastAsia="en-AU"/>
              </w:rPr>
            </w:pPr>
          </w:p>
        </w:tc>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589A6106"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322</w:t>
            </w:r>
          </w:p>
        </w:tc>
        <w:tc>
          <w:tcPr>
            <w:tcW w:w="885" w:type="dxa"/>
            <w:tcBorders>
              <w:top w:val="nil"/>
              <w:left w:val="nil"/>
              <w:bottom w:val="single" w:sz="4" w:space="0" w:color="auto"/>
              <w:right w:val="single" w:sz="4" w:space="0" w:color="auto"/>
            </w:tcBorders>
            <w:shd w:val="clear" w:color="auto" w:fill="auto"/>
            <w:noWrap/>
            <w:vAlign w:val="bottom"/>
            <w:hideMark/>
          </w:tcPr>
          <w:p w14:paraId="3588F8C0"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35</w:t>
            </w:r>
          </w:p>
        </w:tc>
        <w:tc>
          <w:tcPr>
            <w:tcW w:w="1035" w:type="dxa"/>
            <w:tcBorders>
              <w:top w:val="nil"/>
              <w:left w:val="nil"/>
              <w:bottom w:val="single" w:sz="4" w:space="0" w:color="auto"/>
              <w:right w:val="single" w:sz="4" w:space="0" w:color="auto"/>
            </w:tcBorders>
            <w:shd w:val="clear" w:color="auto" w:fill="auto"/>
            <w:noWrap/>
            <w:vAlign w:val="bottom"/>
            <w:hideMark/>
          </w:tcPr>
          <w:p w14:paraId="62BBA1DC"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300</w:t>
            </w:r>
          </w:p>
        </w:tc>
        <w:tc>
          <w:tcPr>
            <w:tcW w:w="885" w:type="dxa"/>
            <w:tcBorders>
              <w:top w:val="nil"/>
              <w:left w:val="nil"/>
              <w:bottom w:val="single" w:sz="4" w:space="0" w:color="auto"/>
              <w:right w:val="single" w:sz="8" w:space="0" w:color="auto"/>
            </w:tcBorders>
            <w:shd w:val="clear" w:color="auto" w:fill="auto"/>
            <w:noWrap/>
            <w:vAlign w:val="bottom"/>
            <w:hideMark/>
          </w:tcPr>
          <w:p w14:paraId="533D5308"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48</w:t>
            </w:r>
          </w:p>
        </w:tc>
      </w:tr>
      <w:tr w:rsidR="00B56CB1" w:rsidRPr="00B56CB1" w14:paraId="6F7858DD" w14:textId="77777777" w:rsidTr="00B56CB1">
        <w:trPr>
          <w:trHeight w:val="300"/>
        </w:trPr>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1447EEC0"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310</w:t>
            </w:r>
          </w:p>
        </w:tc>
        <w:tc>
          <w:tcPr>
            <w:tcW w:w="885" w:type="dxa"/>
            <w:tcBorders>
              <w:top w:val="nil"/>
              <w:left w:val="nil"/>
              <w:bottom w:val="single" w:sz="4" w:space="0" w:color="auto"/>
              <w:right w:val="single" w:sz="4" w:space="0" w:color="auto"/>
            </w:tcBorders>
            <w:shd w:val="clear" w:color="auto" w:fill="auto"/>
            <w:noWrap/>
            <w:vAlign w:val="bottom"/>
            <w:hideMark/>
          </w:tcPr>
          <w:p w14:paraId="269EF91E"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74</w:t>
            </w:r>
          </w:p>
        </w:tc>
        <w:tc>
          <w:tcPr>
            <w:tcW w:w="1035" w:type="dxa"/>
            <w:tcBorders>
              <w:top w:val="nil"/>
              <w:left w:val="nil"/>
              <w:bottom w:val="single" w:sz="4" w:space="0" w:color="auto"/>
              <w:right w:val="single" w:sz="4" w:space="0" w:color="auto"/>
            </w:tcBorders>
            <w:shd w:val="clear" w:color="auto" w:fill="auto"/>
            <w:noWrap/>
            <w:vAlign w:val="bottom"/>
            <w:hideMark/>
          </w:tcPr>
          <w:p w14:paraId="3BC7C4AC"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298</w:t>
            </w:r>
          </w:p>
        </w:tc>
        <w:tc>
          <w:tcPr>
            <w:tcW w:w="885" w:type="dxa"/>
            <w:tcBorders>
              <w:top w:val="nil"/>
              <w:left w:val="nil"/>
              <w:bottom w:val="single" w:sz="4" w:space="0" w:color="auto"/>
              <w:right w:val="single" w:sz="8" w:space="0" w:color="auto"/>
            </w:tcBorders>
            <w:shd w:val="clear" w:color="auto" w:fill="auto"/>
            <w:noWrap/>
            <w:vAlign w:val="bottom"/>
            <w:hideMark/>
          </w:tcPr>
          <w:p w14:paraId="79D0CCFA"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72</w:t>
            </w:r>
          </w:p>
        </w:tc>
        <w:tc>
          <w:tcPr>
            <w:tcW w:w="960" w:type="dxa"/>
            <w:tcBorders>
              <w:top w:val="nil"/>
              <w:left w:val="nil"/>
              <w:bottom w:val="nil"/>
              <w:right w:val="nil"/>
            </w:tcBorders>
            <w:shd w:val="clear" w:color="auto" w:fill="auto"/>
            <w:noWrap/>
            <w:vAlign w:val="bottom"/>
            <w:hideMark/>
          </w:tcPr>
          <w:p w14:paraId="5A54927F" w14:textId="77777777" w:rsidR="00B56CB1" w:rsidRPr="00B56CB1" w:rsidRDefault="00B56CB1" w:rsidP="00B56CB1">
            <w:pPr>
              <w:jc w:val="right"/>
              <w:rPr>
                <w:rFonts w:ascii="Calibri" w:hAnsi="Calibri" w:cs="Calibri"/>
                <w:color w:val="000000"/>
                <w:sz w:val="22"/>
                <w:szCs w:val="22"/>
                <w:lang w:val="en-AU" w:eastAsia="en-AU"/>
              </w:rPr>
            </w:pPr>
          </w:p>
        </w:tc>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7984FFC1"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331</w:t>
            </w:r>
          </w:p>
        </w:tc>
        <w:tc>
          <w:tcPr>
            <w:tcW w:w="885" w:type="dxa"/>
            <w:tcBorders>
              <w:top w:val="nil"/>
              <w:left w:val="nil"/>
              <w:bottom w:val="single" w:sz="4" w:space="0" w:color="auto"/>
              <w:right w:val="single" w:sz="4" w:space="0" w:color="auto"/>
            </w:tcBorders>
            <w:shd w:val="clear" w:color="auto" w:fill="auto"/>
            <w:noWrap/>
            <w:vAlign w:val="bottom"/>
            <w:hideMark/>
          </w:tcPr>
          <w:p w14:paraId="7E548559"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41</w:t>
            </w:r>
          </w:p>
        </w:tc>
        <w:tc>
          <w:tcPr>
            <w:tcW w:w="1035" w:type="dxa"/>
            <w:tcBorders>
              <w:top w:val="nil"/>
              <w:left w:val="nil"/>
              <w:bottom w:val="single" w:sz="4" w:space="0" w:color="auto"/>
              <w:right w:val="single" w:sz="4" w:space="0" w:color="auto"/>
            </w:tcBorders>
            <w:shd w:val="clear" w:color="auto" w:fill="auto"/>
            <w:noWrap/>
            <w:vAlign w:val="bottom"/>
            <w:hideMark/>
          </w:tcPr>
          <w:p w14:paraId="0B8C9974"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316</w:t>
            </w:r>
          </w:p>
        </w:tc>
        <w:tc>
          <w:tcPr>
            <w:tcW w:w="885" w:type="dxa"/>
            <w:tcBorders>
              <w:top w:val="nil"/>
              <w:left w:val="nil"/>
              <w:bottom w:val="single" w:sz="4" w:space="0" w:color="auto"/>
              <w:right w:val="single" w:sz="8" w:space="0" w:color="auto"/>
            </w:tcBorders>
            <w:shd w:val="clear" w:color="auto" w:fill="auto"/>
            <w:noWrap/>
            <w:vAlign w:val="bottom"/>
            <w:hideMark/>
          </w:tcPr>
          <w:p w14:paraId="2BE79CD5"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45</w:t>
            </w:r>
          </w:p>
        </w:tc>
      </w:tr>
      <w:tr w:rsidR="00B56CB1" w:rsidRPr="00B56CB1" w14:paraId="48FE7688" w14:textId="77777777" w:rsidTr="00B56CB1">
        <w:trPr>
          <w:trHeight w:val="300"/>
        </w:trPr>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76F60D0B"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315</w:t>
            </w:r>
          </w:p>
        </w:tc>
        <w:tc>
          <w:tcPr>
            <w:tcW w:w="885" w:type="dxa"/>
            <w:tcBorders>
              <w:top w:val="nil"/>
              <w:left w:val="nil"/>
              <w:bottom w:val="single" w:sz="4" w:space="0" w:color="auto"/>
              <w:right w:val="single" w:sz="4" w:space="0" w:color="auto"/>
            </w:tcBorders>
            <w:shd w:val="clear" w:color="auto" w:fill="auto"/>
            <w:noWrap/>
            <w:vAlign w:val="bottom"/>
            <w:hideMark/>
          </w:tcPr>
          <w:p w14:paraId="585F5B73"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45</w:t>
            </w:r>
          </w:p>
        </w:tc>
        <w:tc>
          <w:tcPr>
            <w:tcW w:w="1035" w:type="dxa"/>
            <w:tcBorders>
              <w:top w:val="nil"/>
              <w:left w:val="nil"/>
              <w:bottom w:val="single" w:sz="4" w:space="0" w:color="auto"/>
              <w:right w:val="single" w:sz="4" w:space="0" w:color="auto"/>
            </w:tcBorders>
            <w:shd w:val="clear" w:color="auto" w:fill="auto"/>
            <w:noWrap/>
            <w:vAlign w:val="bottom"/>
            <w:hideMark/>
          </w:tcPr>
          <w:p w14:paraId="5D443FBD"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345</w:t>
            </w:r>
          </w:p>
        </w:tc>
        <w:tc>
          <w:tcPr>
            <w:tcW w:w="885" w:type="dxa"/>
            <w:tcBorders>
              <w:top w:val="nil"/>
              <w:left w:val="nil"/>
              <w:bottom w:val="single" w:sz="4" w:space="0" w:color="auto"/>
              <w:right w:val="single" w:sz="8" w:space="0" w:color="auto"/>
            </w:tcBorders>
            <w:shd w:val="clear" w:color="auto" w:fill="auto"/>
            <w:noWrap/>
            <w:vAlign w:val="bottom"/>
            <w:hideMark/>
          </w:tcPr>
          <w:p w14:paraId="1E4E2442"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41</w:t>
            </w:r>
          </w:p>
        </w:tc>
        <w:tc>
          <w:tcPr>
            <w:tcW w:w="960" w:type="dxa"/>
            <w:tcBorders>
              <w:top w:val="nil"/>
              <w:left w:val="nil"/>
              <w:bottom w:val="nil"/>
              <w:right w:val="nil"/>
            </w:tcBorders>
            <w:shd w:val="clear" w:color="auto" w:fill="auto"/>
            <w:noWrap/>
            <w:vAlign w:val="bottom"/>
            <w:hideMark/>
          </w:tcPr>
          <w:p w14:paraId="36D1AF59" w14:textId="77777777" w:rsidR="00B56CB1" w:rsidRPr="00B56CB1" w:rsidRDefault="00B56CB1" w:rsidP="00B56CB1">
            <w:pPr>
              <w:jc w:val="right"/>
              <w:rPr>
                <w:rFonts w:ascii="Calibri" w:hAnsi="Calibri" w:cs="Calibri"/>
                <w:color w:val="000000"/>
                <w:sz w:val="22"/>
                <w:szCs w:val="22"/>
                <w:lang w:val="en-AU" w:eastAsia="en-AU"/>
              </w:rPr>
            </w:pPr>
          </w:p>
        </w:tc>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2540CC17"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311</w:t>
            </w:r>
          </w:p>
        </w:tc>
        <w:tc>
          <w:tcPr>
            <w:tcW w:w="885" w:type="dxa"/>
            <w:tcBorders>
              <w:top w:val="nil"/>
              <w:left w:val="nil"/>
              <w:bottom w:val="single" w:sz="4" w:space="0" w:color="auto"/>
              <w:right w:val="single" w:sz="4" w:space="0" w:color="auto"/>
            </w:tcBorders>
            <w:shd w:val="clear" w:color="auto" w:fill="auto"/>
            <w:noWrap/>
            <w:vAlign w:val="bottom"/>
            <w:hideMark/>
          </w:tcPr>
          <w:p w14:paraId="41E25144"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46</w:t>
            </w:r>
          </w:p>
        </w:tc>
        <w:tc>
          <w:tcPr>
            <w:tcW w:w="1035" w:type="dxa"/>
            <w:tcBorders>
              <w:top w:val="nil"/>
              <w:left w:val="nil"/>
              <w:bottom w:val="single" w:sz="4" w:space="0" w:color="auto"/>
              <w:right w:val="single" w:sz="4" w:space="0" w:color="auto"/>
            </w:tcBorders>
            <w:shd w:val="clear" w:color="auto" w:fill="auto"/>
            <w:noWrap/>
            <w:vAlign w:val="bottom"/>
            <w:hideMark/>
          </w:tcPr>
          <w:p w14:paraId="22547F69"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309</w:t>
            </w:r>
          </w:p>
        </w:tc>
        <w:tc>
          <w:tcPr>
            <w:tcW w:w="885" w:type="dxa"/>
            <w:tcBorders>
              <w:top w:val="nil"/>
              <w:left w:val="nil"/>
              <w:bottom w:val="single" w:sz="4" w:space="0" w:color="auto"/>
              <w:right w:val="single" w:sz="8" w:space="0" w:color="auto"/>
            </w:tcBorders>
            <w:shd w:val="clear" w:color="auto" w:fill="auto"/>
            <w:noWrap/>
            <w:vAlign w:val="bottom"/>
            <w:hideMark/>
          </w:tcPr>
          <w:p w14:paraId="1EA8B397"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37</w:t>
            </w:r>
          </w:p>
        </w:tc>
      </w:tr>
      <w:tr w:rsidR="00B56CB1" w:rsidRPr="00B56CB1" w14:paraId="4573D32E" w14:textId="77777777" w:rsidTr="00B56CB1">
        <w:trPr>
          <w:trHeight w:val="300"/>
        </w:trPr>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65160E9B"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315</w:t>
            </w:r>
          </w:p>
        </w:tc>
        <w:tc>
          <w:tcPr>
            <w:tcW w:w="885" w:type="dxa"/>
            <w:tcBorders>
              <w:top w:val="nil"/>
              <w:left w:val="nil"/>
              <w:bottom w:val="single" w:sz="4" w:space="0" w:color="auto"/>
              <w:right w:val="single" w:sz="4" w:space="0" w:color="auto"/>
            </w:tcBorders>
            <w:shd w:val="clear" w:color="auto" w:fill="auto"/>
            <w:noWrap/>
            <w:vAlign w:val="bottom"/>
            <w:hideMark/>
          </w:tcPr>
          <w:p w14:paraId="1A3B29ED"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56</w:t>
            </w:r>
          </w:p>
        </w:tc>
        <w:tc>
          <w:tcPr>
            <w:tcW w:w="1035" w:type="dxa"/>
            <w:tcBorders>
              <w:top w:val="nil"/>
              <w:left w:val="nil"/>
              <w:bottom w:val="single" w:sz="4" w:space="0" w:color="auto"/>
              <w:right w:val="single" w:sz="4" w:space="0" w:color="auto"/>
            </w:tcBorders>
            <w:shd w:val="clear" w:color="auto" w:fill="auto"/>
            <w:noWrap/>
            <w:vAlign w:val="bottom"/>
            <w:hideMark/>
          </w:tcPr>
          <w:p w14:paraId="6AC425DD"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312</w:t>
            </w:r>
          </w:p>
        </w:tc>
        <w:tc>
          <w:tcPr>
            <w:tcW w:w="885" w:type="dxa"/>
            <w:tcBorders>
              <w:top w:val="nil"/>
              <w:left w:val="nil"/>
              <w:bottom w:val="single" w:sz="4" w:space="0" w:color="auto"/>
              <w:right w:val="single" w:sz="8" w:space="0" w:color="auto"/>
            </w:tcBorders>
            <w:shd w:val="clear" w:color="auto" w:fill="auto"/>
            <w:noWrap/>
            <w:vAlign w:val="bottom"/>
            <w:hideMark/>
          </w:tcPr>
          <w:p w14:paraId="01ED750B"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50</w:t>
            </w:r>
          </w:p>
        </w:tc>
        <w:tc>
          <w:tcPr>
            <w:tcW w:w="960" w:type="dxa"/>
            <w:tcBorders>
              <w:top w:val="nil"/>
              <w:left w:val="nil"/>
              <w:bottom w:val="nil"/>
              <w:right w:val="nil"/>
            </w:tcBorders>
            <w:shd w:val="clear" w:color="auto" w:fill="auto"/>
            <w:noWrap/>
            <w:vAlign w:val="bottom"/>
            <w:hideMark/>
          </w:tcPr>
          <w:p w14:paraId="0DAFCDBD" w14:textId="77777777" w:rsidR="00B56CB1" w:rsidRPr="00B56CB1" w:rsidRDefault="00B56CB1" w:rsidP="00B56CB1">
            <w:pPr>
              <w:jc w:val="right"/>
              <w:rPr>
                <w:rFonts w:ascii="Calibri" w:hAnsi="Calibri" w:cs="Calibri"/>
                <w:color w:val="000000"/>
                <w:sz w:val="22"/>
                <w:szCs w:val="22"/>
                <w:lang w:val="en-AU" w:eastAsia="en-AU"/>
              </w:rPr>
            </w:pPr>
          </w:p>
        </w:tc>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2C747B9E"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292</w:t>
            </w:r>
          </w:p>
        </w:tc>
        <w:tc>
          <w:tcPr>
            <w:tcW w:w="885" w:type="dxa"/>
            <w:tcBorders>
              <w:top w:val="nil"/>
              <w:left w:val="nil"/>
              <w:bottom w:val="single" w:sz="4" w:space="0" w:color="auto"/>
              <w:right w:val="single" w:sz="4" w:space="0" w:color="auto"/>
            </w:tcBorders>
            <w:shd w:val="clear" w:color="auto" w:fill="auto"/>
            <w:noWrap/>
            <w:vAlign w:val="bottom"/>
            <w:hideMark/>
          </w:tcPr>
          <w:p w14:paraId="0BB73079"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61</w:t>
            </w:r>
          </w:p>
        </w:tc>
        <w:tc>
          <w:tcPr>
            <w:tcW w:w="1035" w:type="dxa"/>
            <w:tcBorders>
              <w:top w:val="nil"/>
              <w:left w:val="nil"/>
              <w:bottom w:val="single" w:sz="4" w:space="0" w:color="auto"/>
              <w:right w:val="single" w:sz="4" w:space="0" w:color="auto"/>
            </w:tcBorders>
            <w:shd w:val="clear" w:color="auto" w:fill="auto"/>
            <w:noWrap/>
            <w:vAlign w:val="bottom"/>
            <w:hideMark/>
          </w:tcPr>
          <w:p w14:paraId="0DCB3DCB"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330</w:t>
            </w:r>
          </w:p>
        </w:tc>
        <w:tc>
          <w:tcPr>
            <w:tcW w:w="885" w:type="dxa"/>
            <w:tcBorders>
              <w:top w:val="nil"/>
              <w:left w:val="nil"/>
              <w:bottom w:val="single" w:sz="4" w:space="0" w:color="auto"/>
              <w:right w:val="single" w:sz="8" w:space="0" w:color="auto"/>
            </w:tcBorders>
            <w:shd w:val="clear" w:color="auto" w:fill="auto"/>
            <w:noWrap/>
            <w:vAlign w:val="bottom"/>
            <w:hideMark/>
          </w:tcPr>
          <w:p w14:paraId="490E5230"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43</w:t>
            </w:r>
          </w:p>
        </w:tc>
      </w:tr>
      <w:tr w:rsidR="00B56CB1" w:rsidRPr="00B56CB1" w14:paraId="1CCF1A96" w14:textId="77777777" w:rsidTr="00B56CB1">
        <w:trPr>
          <w:trHeight w:val="300"/>
        </w:trPr>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07795A17"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290</w:t>
            </w:r>
          </w:p>
        </w:tc>
        <w:tc>
          <w:tcPr>
            <w:tcW w:w="885" w:type="dxa"/>
            <w:tcBorders>
              <w:top w:val="nil"/>
              <w:left w:val="nil"/>
              <w:bottom w:val="single" w:sz="4" w:space="0" w:color="auto"/>
              <w:right w:val="single" w:sz="4" w:space="0" w:color="auto"/>
            </w:tcBorders>
            <w:shd w:val="clear" w:color="auto" w:fill="auto"/>
            <w:noWrap/>
            <w:vAlign w:val="bottom"/>
            <w:hideMark/>
          </w:tcPr>
          <w:p w14:paraId="5581D7AE"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87</w:t>
            </w:r>
          </w:p>
        </w:tc>
        <w:tc>
          <w:tcPr>
            <w:tcW w:w="1035" w:type="dxa"/>
            <w:tcBorders>
              <w:top w:val="nil"/>
              <w:left w:val="nil"/>
              <w:bottom w:val="single" w:sz="4" w:space="0" w:color="auto"/>
              <w:right w:val="single" w:sz="4" w:space="0" w:color="auto"/>
            </w:tcBorders>
            <w:shd w:val="clear" w:color="auto" w:fill="auto"/>
            <w:noWrap/>
            <w:vAlign w:val="bottom"/>
            <w:hideMark/>
          </w:tcPr>
          <w:p w14:paraId="713C184F"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293</w:t>
            </w:r>
          </w:p>
        </w:tc>
        <w:tc>
          <w:tcPr>
            <w:tcW w:w="885" w:type="dxa"/>
            <w:tcBorders>
              <w:top w:val="nil"/>
              <w:left w:val="nil"/>
              <w:bottom w:val="single" w:sz="4" w:space="0" w:color="auto"/>
              <w:right w:val="single" w:sz="8" w:space="0" w:color="auto"/>
            </w:tcBorders>
            <w:shd w:val="clear" w:color="auto" w:fill="auto"/>
            <w:noWrap/>
            <w:vAlign w:val="bottom"/>
            <w:hideMark/>
          </w:tcPr>
          <w:p w14:paraId="297D7055"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82</w:t>
            </w:r>
          </w:p>
        </w:tc>
        <w:tc>
          <w:tcPr>
            <w:tcW w:w="960" w:type="dxa"/>
            <w:tcBorders>
              <w:top w:val="nil"/>
              <w:left w:val="nil"/>
              <w:bottom w:val="nil"/>
              <w:right w:val="nil"/>
            </w:tcBorders>
            <w:shd w:val="clear" w:color="auto" w:fill="auto"/>
            <w:noWrap/>
            <w:vAlign w:val="bottom"/>
            <w:hideMark/>
          </w:tcPr>
          <w:p w14:paraId="4C4B3A6E" w14:textId="77777777" w:rsidR="00B56CB1" w:rsidRPr="00B56CB1" w:rsidRDefault="00B56CB1" w:rsidP="00B56CB1">
            <w:pPr>
              <w:jc w:val="right"/>
              <w:rPr>
                <w:rFonts w:ascii="Calibri" w:hAnsi="Calibri" w:cs="Calibri"/>
                <w:color w:val="000000"/>
                <w:sz w:val="22"/>
                <w:szCs w:val="22"/>
                <w:lang w:val="en-AU" w:eastAsia="en-AU"/>
              </w:rPr>
            </w:pPr>
          </w:p>
        </w:tc>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7D0D67B9"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319</w:t>
            </w:r>
          </w:p>
        </w:tc>
        <w:tc>
          <w:tcPr>
            <w:tcW w:w="885" w:type="dxa"/>
            <w:tcBorders>
              <w:top w:val="nil"/>
              <w:left w:val="nil"/>
              <w:bottom w:val="single" w:sz="4" w:space="0" w:color="auto"/>
              <w:right w:val="single" w:sz="4" w:space="0" w:color="auto"/>
            </w:tcBorders>
            <w:shd w:val="clear" w:color="auto" w:fill="auto"/>
            <w:noWrap/>
            <w:vAlign w:val="bottom"/>
            <w:hideMark/>
          </w:tcPr>
          <w:p w14:paraId="06511547"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53</w:t>
            </w:r>
          </w:p>
        </w:tc>
        <w:tc>
          <w:tcPr>
            <w:tcW w:w="1035" w:type="dxa"/>
            <w:tcBorders>
              <w:top w:val="nil"/>
              <w:left w:val="nil"/>
              <w:bottom w:val="single" w:sz="4" w:space="0" w:color="auto"/>
              <w:right w:val="single" w:sz="4" w:space="0" w:color="auto"/>
            </w:tcBorders>
            <w:shd w:val="clear" w:color="auto" w:fill="auto"/>
            <w:noWrap/>
            <w:vAlign w:val="bottom"/>
            <w:hideMark/>
          </w:tcPr>
          <w:p w14:paraId="6FA9FC03"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282</w:t>
            </w:r>
          </w:p>
        </w:tc>
        <w:tc>
          <w:tcPr>
            <w:tcW w:w="885" w:type="dxa"/>
            <w:tcBorders>
              <w:top w:val="nil"/>
              <w:left w:val="nil"/>
              <w:bottom w:val="single" w:sz="4" w:space="0" w:color="auto"/>
              <w:right w:val="single" w:sz="8" w:space="0" w:color="auto"/>
            </w:tcBorders>
            <w:shd w:val="clear" w:color="auto" w:fill="auto"/>
            <w:noWrap/>
            <w:vAlign w:val="bottom"/>
            <w:hideMark/>
          </w:tcPr>
          <w:p w14:paraId="6735FA45"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50</w:t>
            </w:r>
          </w:p>
        </w:tc>
      </w:tr>
      <w:tr w:rsidR="00B56CB1" w:rsidRPr="00B56CB1" w14:paraId="591C3EBB" w14:textId="77777777" w:rsidTr="00B56CB1">
        <w:trPr>
          <w:trHeight w:val="300"/>
        </w:trPr>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503BA716"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302</w:t>
            </w:r>
          </w:p>
        </w:tc>
        <w:tc>
          <w:tcPr>
            <w:tcW w:w="885" w:type="dxa"/>
            <w:tcBorders>
              <w:top w:val="nil"/>
              <w:left w:val="nil"/>
              <w:bottom w:val="single" w:sz="4" w:space="0" w:color="auto"/>
              <w:right w:val="single" w:sz="4" w:space="0" w:color="auto"/>
            </w:tcBorders>
            <w:shd w:val="clear" w:color="auto" w:fill="auto"/>
            <w:noWrap/>
            <w:vAlign w:val="bottom"/>
            <w:hideMark/>
          </w:tcPr>
          <w:p w14:paraId="1B85D27B"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80</w:t>
            </w:r>
          </w:p>
        </w:tc>
        <w:tc>
          <w:tcPr>
            <w:tcW w:w="1035" w:type="dxa"/>
            <w:tcBorders>
              <w:top w:val="nil"/>
              <w:left w:val="nil"/>
              <w:bottom w:val="single" w:sz="4" w:space="0" w:color="auto"/>
              <w:right w:val="single" w:sz="4" w:space="0" w:color="auto"/>
            </w:tcBorders>
            <w:shd w:val="clear" w:color="auto" w:fill="auto"/>
            <w:noWrap/>
            <w:vAlign w:val="bottom"/>
            <w:hideMark/>
          </w:tcPr>
          <w:p w14:paraId="77E88A34"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300</w:t>
            </w:r>
          </w:p>
        </w:tc>
        <w:tc>
          <w:tcPr>
            <w:tcW w:w="885" w:type="dxa"/>
            <w:tcBorders>
              <w:top w:val="nil"/>
              <w:left w:val="nil"/>
              <w:bottom w:val="single" w:sz="4" w:space="0" w:color="auto"/>
              <w:right w:val="single" w:sz="8" w:space="0" w:color="auto"/>
            </w:tcBorders>
            <w:shd w:val="clear" w:color="auto" w:fill="auto"/>
            <w:noWrap/>
            <w:vAlign w:val="bottom"/>
            <w:hideMark/>
          </w:tcPr>
          <w:p w14:paraId="2F0ADEB5"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58</w:t>
            </w:r>
          </w:p>
        </w:tc>
        <w:tc>
          <w:tcPr>
            <w:tcW w:w="960" w:type="dxa"/>
            <w:tcBorders>
              <w:top w:val="nil"/>
              <w:left w:val="nil"/>
              <w:bottom w:val="nil"/>
              <w:right w:val="nil"/>
            </w:tcBorders>
            <w:shd w:val="clear" w:color="auto" w:fill="auto"/>
            <w:noWrap/>
            <w:vAlign w:val="bottom"/>
            <w:hideMark/>
          </w:tcPr>
          <w:p w14:paraId="4F0E9C4C" w14:textId="77777777" w:rsidR="00B56CB1" w:rsidRPr="00B56CB1" w:rsidRDefault="00B56CB1" w:rsidP="00B56CB1">
            <w:pPr>
              <w:jc w:val="right"/>
              <w:rPr>
                <w:rFonts w:ascii="Calibri" w:hAnsi="Calibri" w:cs="Calibri"/>
                <w:color w:val="000000"/>
                <w:sz w:val="22"/>
                <w:szCs w:val="22"/>
                <w:lang w:val="en-AU" w:eastAsia="en-AU"/>
              </w:rPr>
            </w:pPr>
          </w:p>
        </w:tc>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7E8EE194"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278</w:t>
            </w:r>
          </w:p>
        </w:tc>
        <w:tc>
          <w:tcPr>
            <w:tcW w:w="885" w:type="dxa"/>
            <w:tcBorders>
              <w:top w:val="nil"/>
              <w:left w:val="nil"/>
              <w:bottom w:val="single" w:sz="4" w:space="0" w:color="auto"/>
              <w:right w:val="single" w:sz="4" w:space="0" w:color="auto"/>
            </w:tcBorders>
            <w:shd w:val="clear" w:color="auto" w:fill="auto"/>
            <w:noWrap/>
            <w:vAlign w:val="bottom"/>
            <w:hideMark/>
          </w:tcPr>
          <w:p w14:paraId="4A70E007"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30</w:t>
            </w:r>
          </w:p>
        </w:tc>
        <w:tc>
          <w:tcPr>
            <w:tcW w:w="1035" w:type="dxa"/>
            <w:tcBorders>
              <w:top w:val="nil"/>
              <w:left w:val="nil"/>
              <w:bottom w:val="single" w:sz="4" w:space="0" w:color="auto"/>
              <w:right w:val="single" w:sz="4" w:space="0" w:color="auto"/>
            </w:tcBorders>
            <w:shd w:val="clear" w:color="auto" w:fill="auto"/>
            <w:noWrap/>
            <w:vAlign w:val="bottom"/>
            <w:hideMark/>
          </w:tcPr>
          <w:p w14:paraId="674F50B8"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294</w:t>
            </w:r>
          </w:p>
        </w:tc>
        <w:tc>
          <w:tcPr>
            <w:tcW w:w="885" w:type="dxa"/>
            <w:tcBorders>
              <w:top w:val="nil"/>
              <w:left w:val="nil"/>
              <w:bottom w:val="single" w:sz="4" w:space="0" w:color="auto"/>
              <w:right w:val="single" w:sz="8" w:space="0" w:color="auto"/>
            </w:tcBorders>
            <w:shd w:val="clear" w:color="auto" w:fill="auto"/>
            <w:noWrap/>
            <w:vAlign w:val="bottom"/>
            <w:hideMark/>
          </w:tcPr>
          <w:p w14:paraId="68D89D6D"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46</w:t>
            </w:r>
          </w:p>
        </w:tc>
      </w:tr>
      <w:tr w:rsidR="00B56CB1" w:rsidRPr="00B56CB1" w14:paraId="6A883845" w14:textId="77777777" w:rsidTr="00B56CB1">
        <w:trPr>
          <w:trHeight w:val="300"/>
        </w:trPr>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2B9F677F"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305</w:t>
            </w:r>
          </w:p>
        </w:tc>
        <w:tc>
          <w:tcPr>
            <w:tcW w:w="885" w:type="dxa"/>
            <w:tcBorders>
              <w:top w:val="nil"/>
              <w:left w:val="nil"/>
              <w:bottom w:val="single" w:sz="4" w:space="0" w:color="auto"/>
              <w:right w:val="single" w:sz="4" w:space="0" w:color="auto"/>
            </w:tcBorders>
            <w:shd w:val="clear" w:color="auto" w:fill="auto"/>
            <w:noWrap/>
            <w:vAlign w:val="bottom"/>
            <w:hideMark/>
          </w:tcPr>
          <w:p w14:paraId="1D524BA1"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64</w:t>
            </w:r>
          </w:p>
        </w:tc>
        <w:tc>
          <w:tcPr>
            <w:tcW w:w="1035" w:type="dxa"/>
            <w:tcBorders>
              <w:top w:val="nil"/>
              <w:left w:val="nil"/>
              <w:bottom w:val="single" w:sz="4" w:space="0" w:color="auto"/>
              <w:right w:val="single" w:sz="4" w:space="0" w:color="auto"/>
            </w:tcBorders>
            <w:shd w:val="clear" w:color="auto" w:fill="auto"/>
            <w:noWrap/>
            <w:vAlign w:val="bottom"/>
            <w:hideMark/>
          </w:tcPr>
          <w:p w14:paraId="792C26D1"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298</w:t>
            </w:r>
          </w:p>
        </w:tc>
        <w:tc>
          <w:tcPr>
            <w:tcW w:w="885" w:type="dxa"/>
            <w:tcBorders>
              <w:top w:val="nil"/>
              <w:left w:val="nil"/>
              <w:bottom w:val="single" w:sz="4" w:space="0" w:color="auto"/>
              <w:right w:val="single" w:sz="8" w:space="0" w:color="auto"/>
            </w:tcBorders>
            <w:shd w:val="clear" w:color="auto" w:fill="auto"/>
            <w:noWrap/>
            <w:vAlign w:val="bottom"/>
            <w:hideMark/>
          </w:tcPr>
          <w:p w14:paraId="2DDA1D22"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77</w:t>
            </w:r>
          </w:p>
        </w:tc>
        <w:tc>
          <w:tcPr>
            <w:tcW w:w="960" w:type="dxa"/>
            <w:tcBorders>
              <w:top w:val="nil"/>
              <w:left w:val="nil"/>
              <w:bottom w:val="nil"/>
              <w:right w:val="nil"/>
            </w:tcBorders>
            <w:shd w:val="clear" w:color="auto" w:fill="auto"/>
            <w:noWrap/>
            <w:vAlign w:val="bottom"/>
            <w:hideMark/>
          </w:tcPr>
          <w:p w14:paraId="239C68E9" w14:textId="77777777" w:rsidR="00B56CB1" w:rsidRPr="00B56CB1" w:rsidRDefault="00B56CB1" w:rsidP="00B56CB1">
            <w:pPr>
              <w:jc w:val="right"/>
              <w:rPr>
                <w:rFonts w:ascii="Calibri" w:hAnsi="Calibri" w:cs="Calibri"/>
                <w:color w:val="000000"/>
                <w:sz w:val="22"/>
                <w:szCs w:val="22"/>
                <w:lang w:val="en-AU" w:eastAsia="en-AU"/>
              </w:rPr>
            </w:pPr>
          </w:p>
        </w:tc>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42717807"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305</w:t>
            </w:r>
          </w:p>
        </w:tc>
        <w:tc>
          <w:tcPr>
            <w:tcW w:w="885" w:type="dxa"/>
            <w:tcBorders>
              <w:top w:val="nil"/>
              <w:left w:val="nil"/>
              <w:bottom w:val="single" w:sz="4" w:space="0" w:color="auto"/>
              <w:right w:val="single" w:sz="4" w:space="0" w:color="auto"/>
            </w:tcBorders>
            <w:shd w:val="clear" w:color="auto" w:fill="auto"/>
            <w:noWrap/>
            <w:vAlign w:val="bottom"/>
            <w:hideMark/>
          </w:tcPr>
          <w:p w14:paraId="16168607"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41</w:t>
            </w:r>
          </w:p>
        </w:tc>
        <w:tc>
          <w:tcPr>
            <w:tcW w:w="1035" w:type="dxa"/>
            <w:tcBorders>
              <w:top w:val="nil"/>
              <w:left w:val="nil"/>
              <w:bottom w:val="single" w:sz="4" w:space="0" w:color="auto"/>
              <w:right w:val="single" w:sz="4" w:space="0" w:color="auto"/>
            </w:tcBorders>
            <w:shd w:val="clear" w:color="auto" w:fill="auto"/>
            <w:noWrap/>
            <w:vAlign w:val="bottom"/>
            <w:hideMark/>
          </w:tcPr>
          <w:p w14:paraId="79207A14"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276</w:t>
            </w:r>
          </w:p>
        </w:tc>
        <w:tc>
          <w:tcPr>
            <w:tcW w:w="885" w:type="dxa"/>
            <w:tcBorders>
              <w:top w:val="nil"/>
              <w:left w:val="nil"/>
              <w:bottom w:val="single" w:sz="4" w:space="0" w:color="auto"/>
              <w:right w:val="single" w:sz="8" w:space="0" w:color="auto"/>
            </w:tcBorders>
            <w:shd w:val="clear" w:color="auto" w:fill="auto"/>
            <w:noWrap/>
            <w:vAlign w:val="bottom"/>
            <w:hideMark/>
          </w:tcPr>
          <w:p w14:paraId="6DF852AA"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45</w:t>
            </w:r>
          </w:p>
        </w:tc>
      </w:tr>
      <w:tr w:rsidR="00B56CB1" w:rsidRPr="00B56CB1" w14:paraId="624C139F" w14:textId="77777777" w:rsidTr="00B56CB1">
        <w:trPr>
          <w:trHeight w:val="300"/>
        </w:trPr>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06E39A4B"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281</w:t>
            </w:r>
          </w:p>
        </w:tc>
        <w:tc>
          <w:tcPr>
            <w:tcW w:w="885" w:type="dxa"/>
            <w:tcBorders>
              <w:top w:val="nil"/>
              <w:left w:val="nil"/>
              <w:bottom w:val="single" w:sz="4" w:space="0" w:color="auto"/>
              <w:right w:val="single" w:sz="4" w:space="0" w:color="auto"/>
            </w:tcBorders>
            <w:shd w:val="clear" w:color="auto" w:fill="auto"/>
            <w:noWrap/>
            <w:vAlign w:val="bottom"/>
            <w:hideMark/>
          </w:tcPr>
          <w:p w14:paraId="64A2DFF3"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72</w:t>
            </w:r>
          </w:p>
        </w:tc>
        <w:tc>
          <w:tcPr>
            <w:tcW w:w="1035" w:type="dxa"/>
            <w:tcBorders>
              <w:top w:val="nil"/>
              <w:left w:val="nil"/>
              <w:bottom w:val="single" w:sz="4" w:space="0" w:color="auto"/>
              <w:right w:val="single" w:sz="4" w:space="0" w:color="auto"/>
            </w:tcBorders>
            <w:shd w:val="clear" w:color="auto" w:fill="auto"/>
            <w:noWrap/>
            <w:vAlign w:val="bottom"/>
            <w:hideMark/>
          </w:tcPr>
          <w:p w14:paraId="577649AA"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295</w:t>
            </w:r>
          </w:p>
        </w:tc>
        <w:tc>
          <w:tcPr>
            <w:tcW w:w="885" w:type="dxa"/>
            <w:tcBorders>
              <w:top w:val="nil"/>
              <w:left w:val="nil"/>
              <w:bottom w:val="single" w:sz="4" w:space="0" w:color="auto"/>
              <w:right w:val="single" w:sz="8" w:space="0" w:color="auto"/>
            </w:tcBorders>
            <w:shd w:val="clear" w:color="auto" w:fill="auto"/>
            <w:noWrap/>
            <w:vAlign w:val="bottom"/>
            <w:hideMark/>
          </w:tcPr>
          <w:p w14:paraId="6FF4D72C"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78</w:t>
            </w:r>
          </w:p>
        </w:tc>
        <w:tc>
          <w:tcPr>
            <w:tcW w:w="960" w:type="dxa"/>
            <w:tcBorders>
              <w:top w:val="nil"/>
              <w:left w:val="nil"/>
              <w:bottom w:val="nil"/>
              <w:right w:val="nil"/>
            </w:tcBorders>
            <w:shd w:val="clear" w:color="auto" w:fill="auto"/>
            <w:noWrap/>
            <w:vAlign w:val="bottom"/>
            <w:hideMark/>
          </w:tcPr>
          <w:p w14:paraId="1EEF99B7" w14:textId="77777777" w:rsidR="00B56CB1" w:rsidRPr="00B56CB1" w:rsidRDefault="00B56CB1" w:rsidP="00B56CB1">
            <w:pPr>
              <w:jc w:val="right"/>
              <w:rPr>
                <w:rFonts w:ascii="Calibri" w:hAnsi="Calibri" w:cs="Calibri"/>
                <w:color w:val="000000"/>
                <w:sz w:val="22"/>
                <w:szCs w:val="22"/>
                <w:lang w:val="en-AU" w:eastAsia="en-AU"/>
              </w:rPr>
            </w:pPr>
          </w:p>
        </w:tc>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68E8B627"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308</w:t>
            </w:r>
          </w:p>
        </w:tc>
        <w:tc>
          <w:tcPr>
            <w:tcW w:w="885" w:type="dxa"/>
            <w:tcBorders>
              <w:top w:val="nil"/>
              <w:left w:val="nil"/>
              <w:bottom w:val="single" w:sz="4" w:space="0" w:color="auto"/>
              <w:right w:val="single" w:sz="4" w:space="0" w:color="auto"/>
            </w:tcBorders>
            <w:shd w:val="clear" w:color="auto" w:fill="auto"/>
            <w:noWrap/>
            <w:vAlign w:val="bottom"/>
            <w:hideMark/>
          </w:tcPr>
          <w:p w14:paraId="42A0EA9B"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39</w:t>
            </w:r>
          </w:p>
        </w:tc>
        <w:tc>
          <w:tcPr>
            <w:tcW w:w="1035" w:type="dxa"/>
            <w:tcBorders>
              <w:top w:val="nil"/>
              <w:left w:val="nil"/>
              <w:bottom w:val="single" w:sz="4" w:space="0" w:color="auto"/>
              <w:right w:val="single" w:sz="4" w:space="0" w:color="auto"/>
            </w:tcBorders>
            <w:shd w:val="clear" w:color="auto" w:fill="auto"/>
            <w:noWrap/>
            <w:vAlign w:val="bottom"/>
            <w:hideMark/>
          </w:tcPr>
          <w:p w14:paraId="3255207D"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304</w:t>
            </w:r>
          </w:p>
        </w:tc>
        <w:tc>
          <w:tcPr>
            <w:tcW w:w="885" w:type="dxa"/>
            <w:tcBorders>
              <w:top w:val="nil"/>
              <w:left w:val="nil"/>
              <w:bottom w:val="single" w:sz="4" w:space="0" w:color="auto"/>
              <w:right w:val="single" w:sz="8" w:space="0" w:color="auto"/>
            </w:tcBorders>
            <w:shd w:val="clear" w:color="auto" w:fill="auto"/>
            <w:noWrap/>
            <w:vAlign w:val="bottom"/>
            <w:hideMark/>
          </w:tcPr>
          <w:p w14:paraId="06CC2FA2"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34</w:t>
            </w:r>
          </w:p>
        </w:tc>
      </w:tr>
      <w:tr w:rsidR="00B56CB1" w:rsidRPr="00B56CB1" w14:paraId="3134B2CF" w14:textId="77777777" w:rsidTr="00B56CB1">
        <w:trPr>
          <w:trHeight w:val="300"/>
        </w:trPr>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1B999654"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289</w:t>
            </w:r>
          </w:p>
        </w:tc>
        <w:tc>
          <w:tcPr>
            <w:tcW w:w="885" w:type="dxa"/>
            <w:tcBorders>
              <w:top w:val="nil"/>
              <w:left w:val="nil"/>
              <w:bottom w:val="single" w:sz="4" w:space="0" w:color="auto"/>
              <w:right w:val="single" w:sz="4" w:space="0" w:color="auto"/>
            </w:tcBorders>
            <w:shd w:val="clear" w:color="auto" w:fill="auto"/>
            <w:noWrap/>
            <w:vAlign w:val="bottom"/>
            <w:hideMark/>
          </w:tcPr>
          <w:p w14:paraId="6E28C6A4"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65</w:t>
            </w:r>
          </w:p>
        </w:tc>
        <w:tc>
          <w:tcPr>
            <w:tcW w:w="1035" w:type="dxa"/>
            <w:tcBorders>
              <w:top w:val="nil"/>
              <w:left w:val="nil"/>
              <w:bottom w:val="single" w:sz="4" w:space="0" w:color="auto"/>
              <w:right w:val="single" w:sz="4" w:space="0" w:color="auto"/>
            </w:tcBorders>
            <w:shd w:val="clear" w:color="auto" w:fill="auto"/>
            <w:noWrap/>
            <w:vAlign w:val="bottom"/>
            <w:hideMark/>
          </w:tcPr>
          <w:p w14:paraId="2D596F46"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290</w:t>
            </w:r>
          </w:p>
        </w:tc>
        <w:tc>
          <w:tcPr>
            <w:tcW w:w="885" w:type="dxa"/>
            <w:tcBorders>
              <w:top w:val="nil"/>
              <w:left w:val="nil"/>
              <w:bottom w:val="single" w:sz="4" w:space="0" w:color="auto"/>
              <w:right w:val="single" w:sz="8" w:space="0" w:color="auto"/>
            </w:tcBorders>
            <w:shd w:val="clear" w:color="auto" w:fill="auto"/>
            <w:noWrap/>
            <w:vAlign w:val="bottom"/>
            <w:hideMark/>
          </w:tcPr>
          <w:p w14:paraId="5B0EA745"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58</w:t>
            </w:r>
          </w:p>
        </w:tc>
        <w:tc>
          <w:tcPr>
            <w:tcW w:w="960" w:type="dxa"/>
            <w:tcBorders>
              <w:top w:val="nil"/>
              <w:left w:val="nil"/>
              <w:bottom w:val="nil"/>
              <w:right w:val="nil"/>
            </w:tcBorders>
            <w:shd w:val="clear" w:color="auto" w:fill="auto"/>
            <w:noWrap/>
            <w:vAlign w:val="bottom"/>
            <w:hideMark/>
          </w:tcPr>
          <w:p w14:paraId="5C33EFE9" w14:textId="77777777" w:rsidR="00B56CB1" w:rsidRPr="00B56CB1" w:rsidRDefault="00B56CB1" w:rsidP="00B56CB1">
            <w:pPr>
              <w:jc w:val="right"/>
              <w:rPr>
                <w:rFonts w:ascii="Calibri" w:hAnsi="Calibri" w:cs="Calibri"/>
                <w:color w:val="000000"/>
                <w:sz w:val="22"/>
                <w:szCs w:val="22"/>
                <w:lang w:val="en-AU" w:eastAsia="en-AU"/>
              </w:rPr>
            </w:pPr>
          </w:p>
        </w:tc>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4F87A26C"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292</w:t>
            </w:r>
          </w:p>
        </w:tc>
        <w:tc>
          <w:tcPr>
            <w:tcW w:w="885" w:type="dxa"/>
            <w:tcBorders>
              <w:top w:val="nil"/>
              <w:left w:val="nil"/>
              <w:bottom w:val="single" w:sz="4" w:space="0" w:color="auto"/>
              <w:right w:val="single" w:sz="4" w:space="0" w:color="auto"/>
            </w:tcBorders>
            <w:shd w:val="clear" w:color="auto" w:fill="auto"/>
            <w:noWrap/>
            <w:vAlign w:val="bottom"/>
            <w:hideMark/>
          </w:tcPr>
          <w:p w14:paraId="216EEED7"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40</w:t>
            </w:r>
          </w:p>
        </w:tc>
        <w:tc>
          <w:tcPr>
            <w:tcW w:w="1035" w:type="dxa"/>
            <w:tcBorders>
              <w:top w:val="nil"/>
              <w:left w:val="nil"/>
              <w:bottom w:val="single" w:sz="4" w:space="0" w:color="auto"/>
              <w:right w:val="single" w:sz="4" w:space="0" w:color="auto"/>
            </w:tcBorders>
            <w:shd w:val="clear" w:color="auto" w:fill="auto"/>
            <w:noWrap/>
            <w:vAlign w:val="bottom"/>
            <w:hideMark/>
          </w:tcPr>
          <w:p w14:paraId="37CD6D45"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297</w:t>
            </w:r>
          </w:p>
        </w:tc>
        <w:tc>
          <w:tcPr>
            <w:tcW w:w="885" w:type="dxa"/>
            <w:tcBorders>
              <w:top w:val="nil"/>
              <w:left w:val="nil"/>
              <w:bottom w:val="single" w:sz="4" w:space="0" w:color="auto"/>
              <w:right w:val="single" w:sz="8" w:space="0" w:color="auto"/>
            </w:tcBorders>
            <w:shd w:val="clear" w:color="auto" w:fill="auto"/>
            <w:noWrap/>
            <w:vAlign w:val="bottom"/>
            <w:hideMark/>
          </w:tcPr>
          <w:p w14:paraId="5EE5CEA0"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37</w:t>
            </w:r>
          </w:p>
        </w:tc>
      </w:tr>
      <w:tr w:rsidR="00B56CB1" w:rsidRPr="00B56CB1" w14:paraId="15E57CDF" w14:textId="77777777" w:rsidTr="00B56CB1">
        <w:trPr>
          <w:trHeight w:val="315"/>
        </w:trPr>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4DBC6B24"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308</w:t>
            </w:r>
          </w:p>
        </w:tc>
        <w:tc>
          <w:tcPr>
            <w:tcW w:w="885" w:type="dxa"/>
            <w:tcBorders>
              <w:top w:val="nil"/>
              <w:left w:val="nil"/>
              <w:bottom w:val="single" w:sz="4" w:space="0" w:color="auto"/>
              <w:right w:val="single" w:sz="4" w:space="0" w:color="auto"/>
            </w:tcBorders>
            <w:shd w:val="clear" w:color="auto" w:fill="auto"/>
            <w:noWrap/>
            <w:vAlign w:val="bottom"/>
            <w:hideMark/>
          </w:tcPr>
          <w:p w14:paraId="506729E8"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57</w:t>
            </w:r>
          </w:p>
        </w:tc>
        <w:tc>
          <w:tcPr>
            <w:tcW w:w="1035" w:type="dxa"/>
            <w:tcBorders>
              <w:top w:val="nil"/>
              <w:left w:val="nil"/>
              <w:bottom w:val="single" w:sz="4" w:space="0" w:color="auto"/>
              <w:right w:val="single" w:sz="4" w:space="0" w:color="auto"/>
            </w:tcBorders>
            <w:shd w:val="clear" w:color="auto" w:fill="auto"/>
            <w:noWrap/>
            <w:vAlign w:val="bottom"/>
            <w:hideMark/>
          </w:tcPr>
          <w:p w14:paraId="20BF7D5A"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295</w:t>
            </w:r>
          </w:p>
        </w:tc>
        <w:tc>
          <w:tcPr>
            <w:tcW w:w="885" w:type="dxa"/>
            <w:tcBorders>
              <w:top w:val="nil"/>
              <w:left w:val="nil"/>
              <w:bottom w:val="single" w:sz="4" w:space="0" w:color="auto"/>
              <w:right w:val="single" w:sz="8" w:space="0" w:color="auto"/>
            </w:tcBorders>
            <w:shd w:val="clear" w:color="auto" w:fill="auto"/>
            <w:noWrap/>
            <w:vAlign w:val="bottom"/>
            <w:hideMark/>
          </w:tcPr>
          <w:p w14:paraId="6D38B7E4"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63</w:t>
            </w:r>
          </w:p>
        </w:tc>
        <w:tc>
          <w:tcPr>
            <w:tcW w:w="960" w:type="dxa"/>
            <w:tcBorders>
              <w:top w:val="nil"/>
              <w:left w:val="nil"/>
              <w:bottom w:val="nil"/>
              <w:right w:val="nil"/>
            </w:tcBorders>
            <w:shd w:val="clear" w:color="auto" w:fill="auto"/>
            <w:noWrap/>
            <w:vAlign w:val="bottom"/>
            <w:hideMark/>
          </w:tcPr>
          <w:p w14:paraId="33F389A2" w14:textId="77777777" w:rsidR="00B56CB1" w:rsidRPr="00B56CB1" w:rsidRDefault="00B56CB1" w:rsidP="00B56CB1">
            <w:pPr>
              <w:jc w:val="right"/>
              <w:rPr>
                <w:rFonts w:ascii="Calibri" w:hAnsi="Calibri" w:cs="Calibri"/>
                <w:color w:val="000000"/>
                <w:sz w:val="22"/>
                <w:szCs w:val="22"/>
                <w:lang w:val="en-AU" w:eastAsia="en-AU"/>
              </w:rPr>
            </w:pPr>
          </w:p>
        </w:tc>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20F3E398"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321</w:t>
            </w:r>
          </w:p>
        </w:tc>
        <w:tc>
          <w:tcPr>
            <w:tcW w:w="885" w:type="dxa"/>
            <w:tcBorders>
              <w:top w:val="nil"/>
              <w:left w:val="nil"/>
              <w:bottom w:val="single" w:sz="4" w:space="0" w:color="auto"/>
              <w:right w:val="single" w:sz="4" w:space="0" w:color="auto"/>
            </w:tcBorders>
            <w:shd w:val="clear" w:color="auto" w:fill="auto"/>
            <w:noWrap/>
            <w:vAlign w:val="bottom"/>
            <w:hideMark/>
          </w:tcPr>
          <w:p w14:paraId="476F0C98"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35</w:t>
            </w:r>
          </w:p>
        </w:tc>
        <w:tc>
          <w:tcPr>
            <w:tcW w:w="1035" w:type="dxa"/>
            <w:tcBorders>
              <w:top w:val="nil"/>
              <w:left w:val="nil"/>
              <w:bottom w:val="single" w:sz="4" w:space="0" w:color="auto"/>
              <w:right w:val="single" w:sz="4" w:space="0" w:color="auto"/>
            </w:tcBorders>
            <w:shd w:val="clear" w:color="auto" w:fill="auto"/>
            <w:noWrap/>
            <w:vAlign w:val="bottom"/>
            <w:hideMark/>
          </w:tcPr>
          <w:p w14:paraId="0A42FCE9"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308</w:t>
            </w:r>
          </w:p>
        </w:tc>
        <w:tc>
          <w:tcPr>
            <w:tcW w:w="885" w:type="dxa"/>
            <w:tcBorders>
              <w:top w:val="nil"/>
              <w:left w:val="nil"/>
              <w:bottom w:val="single" w:sz="4" w:space="0" w:color="auto"/>
              <w:right w:val="single" w:sz="8" w:space="0" w:color="auto"/>
            </w:tcBorders>
            <w:shd w:val="clear" w:color="auto" w:fill="auto"/>
            <w:noWrap/>
            <w:vAlign w:val="bottom"/>
            <w:hideMark/>
          </w:tcPr>
          <w:p w14:paraId="46ED3A61"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42</w:t>
            </w:r>
          </w:p>
        </w:tc>
      </w:tr>
      <w:tr w:rsidR="00B56CB1" w:rsidRPr="00B56CB1" w14:paraId="6610ECF9" w14:textId="77777777" w:rsidTr="00B56CB1">
        <w:trPr>
          <w:trHeight w:val="300"/>
        </w:trPr>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1FF4447D"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294</w:t>
            </w:r>
          </w:p>
        </w:tc>
        <w:tc>
          <w:tcPr>
            <w:tcW w:w="885" w:type="dxa"/>
            <w:tcBorders>
              <w:top w:val="nil"/>
              <w:left w:val="nil"/>
              <w:bottom w:val="single" w:sz="4" w:space="0" w:color="auto"/>
              <w:right w:val="single" w:sz="4" w:space="0" w:color="auto"/>
            </w:tcBorders>
            <w:shd w:val="clear" w:color="auto" w:fill="auto"/>
            <w:noWrap/>
            <w:vAlign w:val="bottom"/>
            <w:hideMark/>
          </w:tcPr>
          <w:p w14:paraId="78F44234"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75</w:t>
            </w:r>
          </w:p>
        </w:tc>
        <w:tc>
          <w:tcPr>
            <w:tcW w:w="1035" w:type="dxa"/>
            <w:tcBorders>
              <w:top w:val="nil"/>
              <w:left w:val="nil"/>
              <w:bottom w:val="single" w:sz="4" w:space="0" w:color="auto"/>
              <w:right w:val="single" w:sz="4" w:space="0" w:color="auto"/>
            </w:tcBorders>
            <w:shd w:val="clear" w:color="auto" w:fill="auto"/>
            <w:noWrap/>
            <w:vAlign w:val="bottom"/>
            <w:hideMark/>
          </w:tcPr>
          <w:p w14:paraId="4D9CBA14"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315</w:t>
            </w:r>
          </w:p>
        </w:tc>
        <w:tc>
          <w:tcPr>
            <w:tcW w:w="885" w:type="dxa"/>
            <w:tcBorders>
              <w:top w:val="nil"/>
              <w:left w:val="nil"/>
              <w:bottom w:val="single" w:sz="4" w:space="0" w:color="auto"/>
              <w:right w:val="single" w:sz="8" w:space="0" w:color="auto"/>
            </w:tcBorders>
            <w:shd w:val="clear" w:color="auto" w:fill="auto"/>
            <w:noWrap/>
            <w:vAlign w:val="bottom"/>
            <w:hideMark/>
          </w:tcPr>
          <w:p w14:paraId="109B6E68"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58</w:t>
            </w:r>
          </w:p>
        </w:tc>
        <w:tc>
          <w:tcPr>
            <w:tcW w:w="960" w:type="dxa"/>
            <w:tcBorders>
              <w:top w:val="nil"/>
              <w:left w:val="nil"/>
              <w:bottom w:val="nil"/>
              <w:right w:val="nil"/>
            </w:tcBorders>
            <w:shd w:val="clear" w:color="auto" w:fill="auto"/>
            <w:noWrap/>
            <w:vAlign w:val="bottom"/>
            <w:hideMark/>
          </w:tcPr>
          <w:p w14:paraId="35E736CB" w14:textId="77777777" w:rsidR="00B56CB1" w:rsidRPr="00B56CB1" w:rsidRDefault="00B56CB1" w:rsidP="00B56CB1">
            <w:pPr>
              <w:jc w:val="right"/>
              <w:rPr>
                <w:rFonts w:ascii="Calibri" w:hAnsi="Calibri" w:cs="Calibri"/>
                <w:color w:val="000000"/>
                <w:sz w:val="22"/>
                <w:szCs w:val="22"/>
                <w:lang w:val="en-AU" w:eastAsia="en-AU"/>
              </w:rPr>
            </w:pPr>
          </w:p>
        </w:tc>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022DC744"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298</w:t>
            </w:r>
          </w:p>
        </w:tc>
        <w:tc>
          <w:tcPr>
            <w:tcW w:w="885" w:type="dxa"/>
            <w:tcBorders>
              <w:top w:val="nil"/>
              <w:left w:val="nil"/>
              <w:bottom w:val="single" w:sz="4" w:space="0" w:color="auto"/>
              <w:right w:val="single" w:sz="4" w:space="0" w:color="auto"/>
            </w:tcBorders>
            <w:shd w:val="clear" w:color="auto" w:fill="auto"/>
            <w:noWrap/>
            <w:vAlign w:val="bottom"/>
            <w:hideMark/>
          </w:tcPr>
          <w:p w14:paraId="3142340D"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51</w:t>
            </w:r>
          </w:p>
        </w:tc>
        <w:tc>
          <w:tcPr>
            <w:tcW w:w="1035" w:type="dxa"/>
            <w:tcBorders>
              <w:top w:val="nil"/>
              <w:left w:val="nil"/>
              <w:bottom w:val="single" w:sz="4" w:space="0" w:color="auto"/>
              <w:right w:val="single" w:sz="4" w:space="0" w:color="auto"/>
            </w:tcBorders>
            <w:shd w:val="clear" w:color="auto" w:fill="auto"/>
            <w:noWrap/>
            <w:vAlign w:val="bottom"/>
            <w:hideMark/>
          </w:tcPr>
          <w:p w14:paraId="53D3A0FA"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270</w:t>
            </w:r>
          </w:p>
        </w:tc>
        <w:tc>
          <w:tcPr>
            <w:tcW w:w="885" w:type="dxa"/>
            <w:tcBorders>
              <w:top w:val="nil"/>
              <w:left w:val="nil"/>
              <w:bottom w:val="single" w:sz="4" w:space="0" w:color="auto"/>
              <w:right w:val="single" w:sz="8" w:space="0" w:color="auto"/>
            </w:tcBorders>
            <w:shd w:val="clear" w:color="auto" w:fill="auto"/>
            <w:noWrap/>
            <w:vAlign w:val="bottom"/>
            <w:hideMark/>
          </w:tcPr>
          <w:p w14:paraId="78D387E2"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52</w:t>
            </w:r>
          </w:p>
        </w:tc>
      </w:tr>
      <w:tr w:rsidR="00B56CB1" w:rsidRPr="00B56CB1" w14:paraId="4E9FEB6F" w14:textId="77777777" w:rsidTr="00B56CB1">
        <w:trPr>
          <w:trHeight w:val="300"/>
        </w:trPr>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326000AC"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322</w:t>
            </w:r>
          </w:p>
        </w:tc>
        <w:tc>
          <w:tcPr>
            <w:tcW w:w="885" w:type="dxa"/>
            <w:tcBorders>
              <w:top w:val="nil"/>
              <w:left w:val="nil"/>
              <w:bottom w:val="single" w:sz="4" w:space="0" w:color="auto"/>
              <w:right w:val="single" w:sz="4" w:space="0" w:color="auto"/>
            </w:tcBorders>
            <w:shd w:val="clear" w:color="auto" w:fill="auto"/>
            <w:noWrap/>
            <w:vAlign w:val="bottom"/>
            <w:hideMark/>
          </w:tcPr>
          <w:p w14:paraId="280695C3"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38</w:t>
            </w:r>
          </w:p>
        </w:tc>
        <w:tc>
          <w:tcPr>
            <w:tcW w:w="1035" w:type="dxa"/>
            <w:tcBorders>
              <w:top w:val="nil"/>
              <w:left w:val="nil"/>
              <w:bottom w:val="single" w:sz="4" w:space="0" w:color="auto"/>
              <w:right w:val="single" w:sz="4" w:space="0" w:color="auto"/>
            </w:tcBorders>
            <w:shd w:val="clear" w:color="auto" w:fill="auto"/>
            <w:noWrap/>
            <w:vAlign w:val="bottom"/>
            <w:hideMark/>
          </w:tcPr>
          <w:p w14:paraId="1FAC1410"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302</w:t>
            </w:r>
          </w:p>
        </w:tc>
        <w:tc>
          <w:tcPr>
            <w:tcW w:w="885" w:type="dxa"/>
            <w:tcBorders>
              <w:top w:val="nil"/>
              <w:left w:val="nil"/>
              <w:bottom w:val="single" w:sz="4" w:space="0" w:color="auto"/>
              <w:right w:val="single" w:sz="8" w:space="0" w:color="auto"/>
            </w:tcBorders>
            <w:shd w:val="clear" w:color="auto" w:fill="auto"/>
            <w:noWrap/>
            <w:vAlign w:val="bottom"/>
            <w:hideMark/>
          </w:tcPr>
          <w:p w14:paraId="278A6276"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58</w:t>
            </w:r>
          </w:p>
        </w:tc>
        <w:tc>
          <w:tcPr>
            <w:tcW w:w="960" w:type="dxa"/>
            <w:tcBorders>
              <w:top w:val="nil"/>
              <w:left w:val="nil"/>
              <w:bottom w:val="nil"/>
              <w:right w:val="nil"/>
            </w:tcBorders>
            <w:shd w:val="clear" w:color="auto" w:fill="auto"/>
            <w:noWrap/>
            <w:vAlign w:val="bottom"/>
            <w:hideMark/>
          </w:tcPr>
          <w:p w14:paraId="02F008A3" w14:textId="77777777" w:rsidR="00B56CB1" w:rsidRPr="00B56CB1" w:rsidRDefault="00B56CB1" w:rsidP="00B56CB1">
            <w:pPr>
              <w:jc w:val="right"/>
              <w:rPr>
                <w:rFonts w:ascii="Calibri" w:hAnsi="Calibri" w:cs="Calibri"/>
                <w:color w:val="000000"/>
                <w:sz w:val="22"/>
                <w:szCs w:val="22"/>
                <w:lang w:val="en-AU" w:eastAsia="en-AU"/>
              </w:rPr>
            </w:pPr>
          </w:p>
        </w:tc>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4D87F86E"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330</w:t>
            </w:r>
          </w:p>
        </w:tc>
        <w:tc>
          <w:tcPr>
            <w:tcW w:w="885" w:type="dxa"/>
            <w:tcBorders>
              <w:top w:val="nil"/>
              <w:left w:val="nil"/>
              <w:bottom w:val="single" w:sz="4" w:space="0" w:color="auto"/>
              <w:right w:val="single" w:sz="4" w:space="0" w:color="auto"/>
            </w:tcBorders>
            <w:shd w:val="clear" w:color="auto" w:fill="auto"/>
            <w:noWrap/>
            <w:vAlign w:val="bottom"/>
            <w:hideMark/>
          </w:tcPr>
          <w:p w14:paraId="74527C09"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44</w:t>
            </w:r>
          </w:p>
        </w:tc>
        <w:tc>
          <w:tcPr>
            <w:tcW w:w="1035" w:type="dxa"/>
            <w:tcBorders>
              <w:top w:val="nil"/>
              <w:left w:val="nil"/>
              <w:bottom w:val="single" w:sz="4" w:space="0" w:color="auto"/>
              <w:right w:val="single" w:sz="4" w:space="0" w:color="auto"/>
            </w:tcBorders>
            <w:shd w:val="clear" w:color="auto" w:fill="auto"/>
            <w:noWrap/>
            <w:vAlign w:val="bottom"/>
            <w:hideMark/>
          </w:tcPr>
          <w:p w14:paraId="1B6D6194"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302</w:t>
            </w:r>
          </w:p>
        </w:tc>
        <w:tc>
          <w:tcPr>
            <w:tcW w:w="885" w:type="dxa"/>
            <w:tcBorders>
              <w:top w:val="nil"/>
              <w:left w:val="nil"/>
              <w:bottom w:val="single" w:sz="4" w:space="0" w:color="auto"/>
              <w:right w:val="single" w:sz="8" w:space="0" w:color="auto"/>
            </w:tcBorders>
            <w:shd w:val="clear" w:color="auto" w:fill="auto"/>
            <w:noWrap/>
            <w:vAlign w:val="bottom"/>
            <w:hideMark/>
          </w:tcPr>
          <w:p w14:paraId="4E452B6E"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36</w:t>
            </w:r>
          </w:p>
        </w:tc>
      </w:tr>
      <w:tr w:rsidR="00B56CB1" w:rsidRPr="00B56CB1" w14:paraId="2D57944F" w14:textId="77777777" w:rsidTr="00B56CB1">
        <w:trPr>
          <w:trHeight w:val="315"/>
        </w:trPr>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6817DE4F"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295</w:t>
            </w:r>
          </w:p>
        </w:tc>
        <w:tc>
          <w:tcPr>
            <w:tcW w:w="885" w:type="dxa"/>
            <w:tcBorders>
              <w:top w:val="nil"/>
              <w:left w:val="nil"/>
              <w:bottom w:val="single" w:sz="4" w:space="0" w:color="auto"/>
              <w:right w:val="single" w:sz="4" w:space="0" w:color="auto"/>
            </w:tcBorders>
            <w:shd w:val="clear" w:color="auto" w:fill="auto"/>
            <w:noWrap/>
            <w:vAlign w:val="bottom"/>
            <w:hideMark/>
          </w:tcPr>
          <w:p w14:paraId="76B8667F"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89</w:t>
            </w:r>
          </w:p>
        </w:tc>
        <w:tc>
          <w:tcPr>
            <w:tcW w:w="1035" w:type="dxa"/>
            <w:tcBorders>
              <w:top w:val="nil"/>
              <w:left w:val="nil"/>
              <w:bottom w:val="single" w:sz="4" w:space="0" w:color="auto"/>
              <w:right w:val="single" w:sz="4" w:space="0" w:color="auto"/>
            </w:tcBorders>
            <w:shd w:val="clear" w:color="auto" w:fill="auto"/>
            <w:noWrap/>
            <w:vAlign w:val="bottom"/>
            <w:hideMark/>
          </w:tcPr>
          <w:p w14:paraId="1B410243"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289</w:t>
            </w:r>
          </w:p>
        </w:tc>
        <w:tc>
          <w:tcPr>
            <w:tcW w:w="885" w:type="dxa"/>
            <w:tcBorders>
              <w:top w:val="nil"/>
              <w:left w:val="nil"/>
              <w:bottom w:val="single" w:sz="4" w:space="0" w:color="auto"/>
              <w:right w:val="single" w:sz="8" w:space="0" w:color="auto"/>
            </w:tcBorders>
            <w:shd w:val="clear" w:color="auto" w:fill="auto"/>
            <w:noWrap/>
            <w:vAlign w:val="bottom"/>
            <w:hideMark/>
          </w:tcPr>
          <w:p w14:paraId="28007C03"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75</w:t>
            </w:r>
          </w:p>
        </w:tc>
        <w:tc>
          <w:tcPr>
            <w:tcW w:w="960" w:type="dxa"/>
            <w:tcBorders>
              <w:top w:val="nil"/>
              <w:left w:val="nil"/>
              <w:bottom w:val="nil"/>
              <w:right w:val="nil"/>
            </w:tcBorders>
            <w:shd w:val="clear" w:color="auto" w:fill="auto"/>
            <w:noWrap/>
            <w:vAlign w:val="bottom"/>
            <w:hideMark/>
          </w:tcPr>
          <w:p w14:paraId="35A2575B" w14:textId="77777777" w:rsidR="00B56CB1" w:rsidRPr="00B56CB1" w:rsidRDefault="00B56CB1" w:rsidP="00B56CB1">
            <w:pPr>
              <w:jc w:val="right"/>
              <w:rPr>
                <w:rFonts w:ascii="Calibri" w:hAnsi="Calibri" w:cs="Calibri"/>
                <w:color w:val="000000"/>
                <w:sz w:val="22"/>
                <w:szCs w:val="22"/>
                <w:lang w:val="en-AU" w:eastAsia="en-AU"/>
              </w:rPr>
            </w:pPr>
          </w:p>
        </w:tc>
        <w:tc>
          <w:tcPr>
            <w:tcW w:w="1035" w:type="dxa"/>
            <w:tcBorders>
              <w:top w:val="nil"/>
              <w:left w:val="single" w:sz="8" w:space="0" w:color="auto"/>
              <w:bottom w:val="single" w:sz="8" w:space="0" w:color="auto"/>
              <w:right w:val="single" w:sz="4" w:space="0" w:color="auto"/>
            </w:tcBorders>
            <w:shd w:val="clear" w:color="auto" w:fill="auto"/>
            <w:noWrap/>
            <w:vAlign w:val="bottom"/>
            <w:hideMark/>
          </w:tcPr>
          <w:p w14:paraId="2FFE16DA"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286</w:t>
            </w:r>
          </w:p>
        </w:tc>
        <w:tc>
          <w:tcPr>
            <w:tcW w:w="885" w:type="dxa"/>
            <w:tcBorders>
              <w:top w:val="nil"/>
              <w:left w:val="nil"/>
              <w:bottom w:val="single" w:sz="8" w:space="0" w:color="auto"/>
              <w:right w:val="single" w:sz="4" w:space="0" w:color="auto"/>
            </w:tcBorders>
            <w:shd w:val="clear" w:color="auto" w:fill="auto"/>
            <w:noWrap/>
            <w:vAlign w:val="bottom"/>
            <w:hideMark/>
          </w:tcPr>
          <w:p w14:paraId="41BF660A"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30</w:t>
            </w:r>
          </w:p>
        </w:tc>
        <w:tc>
          <w:tcPr>
            <w:tcW w:w="1035" w:type="dxa"/>
            <w:tcBorders>
              <w:top w:val="nil"/>
              <w:left w:val="nil"/>
              <w:bottom w:val="single" w:sz="8" w:space="0" w:color="auto"/>
              <w:right w:val="single" w:sz="4" w:space="0" w:color="auto"/>
            </w:tcBorders>
            <w:shd w:val="clear" w:color="auto" w:fill="auto"/>
            <w:noWrap/>
            <w:vAlign w:val="bottom"/>
            <w:hideMark/>
          </w:tcPr>
          <w:p w14:paraId="66BA53FD"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313</w:t>
            </w:r>
          </w:p>
        </w:tc>
        <w:tc>
          <w:tcPr>
            <w:tcW w:w="885" w:type="dxa"/>
            <w:tcBorders>
              <w:top w:val="nil"/>
              <w:left w:val="nil"/>
              <w:bottom w:val="single" w:sz="8" w:space="0" w:color="auto"/>
              <w:right w:val="single" w:sz="8" w:space="0" w:color="auto"/>
            </w:tcBorders>
            <w:shd w:val="clear" w:color="auto" w:fill="auto"/>
            <w:noWrap/>
            <w:vAlign w:val="bottom"/>
            <w:hideMark/>
          </w:tcPr>
          <w:p w14:paraId="15350042"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22</w:t>
            </w:r>
          </w:p>
        </w:tc>
      </w:tr>
      <w:tr w:rsidR="00B56CB1" w:rsidRPr="00B56CB1" w14:paraId="04C6EB29" w14:textId="77777777" w:rsidTr="00B56CB1">
        <w:trPr>
          <w:trHeight w:val="300"/>
        </w:trPr>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13E1543F"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284</w:t>
            </w:r>
          </w:p>
        </w:tc>
        <w:tc>
          <w:tcPr>
            <w:tcW w:w="885" w:type="dxa"/>
            <w:tcBorders>
              <w:top w:val="nil"/>
              <w:left w:val="nil"/>
              <w:bottom w:val="single" w:sz="4" w:space="0" w:color="auto"/>
              <w:right w:val="single" w:sz="4" w:space="0" w:color="auto"/>
            </w:tcBorders>
            <w:shd w:val="clear" w:color="auto" w:fill="auto"/>
            <w:noWrap/>
            <w:vAlign w:val="bottom"/>
            <w:hideMark/>
          </w:tcPr>
          <w:p w14:paraId="4669BB8B"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86</w:t>
            </w:r>
          </w:p>
        </w:tc>
        <w:tc>
          <w:tcPr>
            <w:tcW w:w="1035" w:type="dxa"/>
            <w:tcBorders>
              <w:top w:val="nil"/>
              <w:left w:val="nil"/>
              <w:bottom w:val="single" w:sz="4" w:space="0" w:color="auto"/>
              <w:right w:val="single" w:sz="4" w:space="0" w:color="auto"/>
            </w:tcBorders>
            <w:shd w:val="clear" w:color="auto" w:fill="auto"/>
            <w:noWrap/>
            <w:vAlign w:val="bottom"/>
            <w:hideMark/>
          </w:tcPr>
          <w:p w14:paraId="614CA859"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272</w:t>
            </w:r>
          </w:p>
        </w:tc>
        <w:tc>
          <w:tcPr>
            <w:tcW w:w="885" w:type="dxa"/>
            <w:tcBorders>
              <w:top w:val="nil"/>
              <w:left w:val="nil"/>
              <w:bottom w:val="single" w:sz="4" w:space="0" w:color="auto"/>
              <w:right w:val="single" w:sz="8" w:space="0" w:color="auto"/>
            </w:tcBorders>
            <w:shd w:val="clear" w:color="auto" w:fill="auto"/>
            <w:noWrap/>
            <w:vAlign w:val="bottom"/>
            <w:hideMark/>
          </w:tcPr>
          <w:p w14:paraId="54E34AE7"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78</w:t>
            </w:r>
          </w:p>
        </w:tc>
        <w:tc>
          <w:tcPr>
            <w:tcW w:w="960" w:type="dxa"/>
            <w:tcBorders>
              <w:top w:val="nil"/>
              <w:left w:val="nil"/>
              <w:bottom w:val="nil"/>
              <w:right w:val="nil"/>
            </w:tcBorders>
            <w:shd w:val="clear" w:color="auto" w:fill="auto"/>
            <w:noWrap/>
            <w:vAlign w:val="bottom"/>
            <w:hideMark/>
          </w:tcPr>
          <w:p w14:paraId="2EBD6153" w14:textId="77777777" w:rsidR="00B56CB1" w:rsidRPr="00B56CB1" w:rsidRDefault="00B56CB1" w:rsidP="00B56CB1">
            <w:pPr>
              <w:jc w:val="right"/>
              <w:rPr>
                <w:rFonts w:ascii="Calibri" w:hAnsi="Calibri" w:cs="Calibri"/>
                <w:color w:val="000000"/>
                <w:sz w:val="22"/>
                <w:szCs w:val="22"/>
                <w:lang w:val="en-AU" w:eastAsia="en-AU"/>
              </w:rPr>
            </w:pPr>
          </w:p>
        </w:tc>
        <w:tc>
          <w:tcPr>
            <w:tcW w:w="1035" w:type="dxa"/>
            <w:tcBorders>
              <w:top w:val="nil"/>
              <w:left w:val="nil"/>
              <w:bottom w:val="nil"/>
              <w:right w:val="nil"/>
            </w:tcBorders>
            <w:shd w:val="clear" w:color="auto" w:fill="auto"/>
            <w:noWrap/>
            <w:vAlign w:val="bottom"/>
            <w:hideMark/>
          </w:tcPr>
          <w:p w14:paraId="324B8C16" w14:textId="77777777" w:rsidR="00B56CB1" w:rsidRPr="00B56CB1" w:rsidRDefault="00B56CB1" w:rsidP="00B56CB1">
            <w:pPr>
              <w:rPr>
                <w:sz w:val="20"/>
                <w:lang w:val="en-AU" w:eastAsia="en-AU"/>
              </w:rPr>
            </w:pPr>
          </w:p>
        </w:tc>
        <w:tc>
          <w:tcPr>
            <w:tcW w:w="885" w:type="dxa"/>
            <w:tcBorders>
              <w:top w:val="nil"/>
              <w:left w:val="nil"/>
              <w:bottom w:val="nil"/>
              <w:right w:val="nil"/>
            </w:tcBorders>
            <w:shd w:val="clear" w:color="auto" w:fill="auto"/>
            <w:noWrap/>
            <w:vAlign w:val="bottom"/>
            <w:hideMark/>
          </w:tcPr>
          <w:p w14:paraId="174A0727" w14:textId="77777777" w:rsidR="00B56CB1" w:rsidRPr="00B56CB1" w:rsidRDefault="00B56CB1" w:rsidP="00B56CB1">
            <w:pPr>
              <w:rPr>
                <w:sz w:val="20"/>
                <w:lang w:val="en-AU" w:eastAsia="en-AU"/>
              </w:rPr>
            </w:pPr>
          </w:p>
        </w:tc>
        <w:tc>
          <w:tcPr>
            <w:tcW w:w="1035" w:type="dxa"/>
            <w:tcBorders>
              <w:top w:val="nil"/>
              <w:left w:val="nil"/>
              <w:bottom w:val="nil"/>
              <w:right w:val="nil"/>
            </w:tcBorders>
            <w:shd w:val="clear" w:color="auto" w:fill="auto"/>
            <w:noWrap/>
            <w:vAlign w:val="bottom"/>
            <w:hideMark/>
          </w:tcPr>
          <w:p w14:paraId="0E0130DF" w14:textId="77777777" w:rsidR="00B56CB1" w:rsidRPr="00B56CB1" w:rsidRDefault="00B56CB1" w:rsidP="00B56CB1">
            <w:pPr>
              <w:rPr>
                <w:sz w:val="20"/>
                <w:lang w:val="en-AU" w:eastAsia="en-AU"/>
              </w:rPr>
            </w:pPr>
          </w:p>
        </w:tc>
        <w:tc>
          <w:tcPr>
            <w:tcW w:w="885" w:type="dxa"/>
            <w:tcBorders>
              <w:top w:val="nil"/>
              <w:left w:val="nil"/>
              <w:bottom w:val="nil"/>
              <w:right w:val="nil"/>
            </w:tcBorders>
            <w:shd w:val="clear" w:color="auto" w:fill="auto"/>
            <w:noWrap/>
            <w:vAlign w:val="bottom"/>
            <w:hideMark/>
          </w:tcPr>
          <w:p w14:paraId="5EBC9C59" w14:textId="77777777" w:rsidR="00B56CB1" w:rsidRPr="00B56CB1" w:rsidRDefault="00B56CB1" w:rsidP="00B56CB1">
            <w:pPr>
              <w:rPr>
                <w:sz w:val="20"/>
                <w:lang w:val="en-AU" w:eastAsia="en-AU"/>
              </w:rPr>
            </w:pPr>
          </w:p>
        </w:tc>
      </w:tr>
      <w:tr w:rsidR="00B56CB1" w:rsidRPr="00B56CB1" w14:paraId="70B094D9" w14:textId="77777777" w:rsidTr="00B56CB1">
        <w:trPr>
          <w:trHeight w:val="300"/>
        </w:trPr>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5E383BCA"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340</w:t>
            </w:r>
          </w:p>
        </w:tc>
        <w:tc>
          <w:tcPr>
            <w:tcW w:w="885" w:type="dxa"/>
            <w:tcBorders>
              <w:top w:val="nil"/>
              <w:left w:val="nil"/>
              <w:bottom w:val="single" w:sz="4" w:space="0" w:color="auto"/>
              <w:right w:val="single" w:sz="4" w:space="0" w:color="auto"/>
            </w:tcBorders>
            <w:shd w:val="clear" w:color="auto" w:fill="auto"/>
            <w:noWrap/>
            <w:vAlign w:val="bottom"/>
            <w:hideMark/>
          </w:tcPr>
          <w:p w14:paraId="2E5AA18E"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43</w:t>
            </w:r>
          </w:p>
        </w:tc>
        <w:tc>
          <w:tcPr>
            <w:tcW w:w="1035" w:type="dxa"/>
            <w:tcBorders>
              <w:top w:val="nil"/>
              <w:left w:val="nil"/>
              <w:bottom w:val="single" w:sz="4" w:space="0" w:color="auto"/>
              <w:right w:val="single" w:sz="4" w:space="0" w:color="auto"/>
            </w:tcBorders>
            <w:shd w:val="clear" w:color="auto" w:fill="auto"/>
            <w:noWrap/>
            <w:vAlign w:val="bottom"/>
            <w:hideMark/>
          </w:tcPr>
          <w:p w14:paraId="65F49103"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302</w:t>
            </w:r>
          </w:p>
        </w:tc>
        <w:tc>
          <w:tcPr>
            <w:tcW w:w="885" w:type="dxa"/>
            <w:tcBorders>
              <w:top w:val="nil"/>
              <w:left w:val="nil"/>
              <w:bottom w:val="single" w:sz="4" w:space="0" w:color="auto"/>
              <w:right w:val="single" w:sz="8" w:space="0" w:color="auto"/>
            </w:tcBorders>
            <w:shd w:val="clear" w:color="auto" w:fill="auto"/>
            <w:noWrap/>
            <w:vAlign w:val="bottom"/>
            <w:hideMark/>
          </w:tcPr>
          <w:p w14:paraId="726C046B"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66</w:t>
            </w:r>
          </w:p>
        </w:tc>
        <w:tc>
          <w:tcPr>
            <w:tcW w:w="960" w:type="dxa"/>
            <w:tcBorders>
              <w:top w:val="nil"/>
              <w:left w:val="nil"/>
              <w:bottom w:val="nil"/>
              <w:right w:val="nil"/>
            </w:tcBorders>
            <w:shd w:val="clear" w:color="auto" w:fill="auto"/>
            <w:noWrap/>
            <w:vAlign w:val="bottom"/>
            <w:hideMark/>
          </w:tcPr>
          <w:p w14:paraId="34F25F07" w14:textId="77777777" w:rsidR="00B56CB1" w:rsidRPr="00B56CB1" w:rsidRDefault="00B56CB1" w:rsidP="00B56CB1">
            <w:pPr>
              <w:jc w:val="right"/>
              <w:rPr>
                <w:rFonts w:ascii="Calibri" w:hAnsi="Calibri" w:cs="Calibri"/>
                <w:color w:val="000000"/>
                <w:sz w:val="22"/>
                <w:szCs w:val="22"/>
                <w:lang w:val="en-AU" w:eastAsia="en-AU"/>
              </w:rPr>
            </w:pPr>
          </w:p>
        </w:tc>
        <w:tc>
          <w:tcPr>
            <w:tcW w:w="1035" w:type="dxa"/>
            <w:tcBorders>
              <w:top w:val="nil"/>
              <w:left w:val="nil"/>
              <w:bottom w:val="nil"/>
              <w:right w:val="nil"/>
            </w:tcBorders>
            <w:shd w:val="clear" w:color="auto" w:fill="auto"/>
            <w:noWrap/>
            <w:vAlign w:val="bottom"/>
            <w:hideMark/>
          </w:tcPr>
          <w:p w14:paraId="51346795" w14:textId="77777777" w:rsidR="00B56CB1" w:rsidRPr="00B56CB1" w:rsidRDefault="00B56CB1" w:rsidP="00B56CB1">
            <w:pPr>
              <w:rPr>
                <w:sz w:val="20"/>
                <w:lang w:val="en-AU" w:eastAsia="en-AU"/>
              </w:rPr>
            </w:pPr>
          </w:p>
        </w:tc>
        <w:tc>
          <w:tcPr>
            <w:tcW w:w="885" w:type="dxa"/>
            <w:tcBorders>
              <w:top w:val="nil"/>
              <w:left w:val="nil"/>
              <w:bottom w:val="nil"/>
              <w:right w:val="nil"/>
            </w:tcBorders>
            <w:shd w:val="clear" w:color="auto" w:fill="auto"/>
            <w:noWrap/>
            <w:vAlign w:val="bottom"/>
            <w:hideMark/>
          </w:tcPr>
          <w:p w14:paraId="6276A960" w14:textId="77777777" w:rsidR="00B56CB1" w:rsidRPr="00B56CB1" w:rsidRDefault="00B56CB1" w:rsidP="00B56CB1">
            <w:pPr>
              <w:rPr>
                <w:sz w:val="20"/>
                <w:lang w:val="en-AU" w:eastAsia="en-AU"/>
              </w:rPr>
            </w:pPr>
          </w:p>
        </w:tc>
        <w:tc>
          <w:tcPr>
            <w:tcW w:w="1035" w:type="dxa"/>
            <w:tcBorders>
              <w:top w:val="nil"/>
              <w:left w:val="nil"/>
              <w:bottom w:val="nil"/>
              <w:right w:val="nil"/>
            </w:tcBorders>
            <w:shd w:val="clear" w:color="auto" w:fill="auto"/>
            <w:noWrap/>
            <w:vAlign w:val="bottom"/>
            <w:hideMark/>
          </w:tcPr>
          <w:p w14:paraId="7D4CB771" w14:textId="77777777" w:rsidR="00B56CB1" w:rsidRPr="00B56CB1" w:rsidRDefault="00B56CB1" w:rsidP="00B56CB1">
            <w:pPr>
              <w:rPr>
                <w:sz w:val="20"/>
                <w:lang w:val="en-AU" w:eastAsia="en-AU"/>
              </w:rPr>
            </w:pPr>
          </w:p>
        </w:tc>
        <w:tc>
          <w:tcPr>
            <w:tcW w:w="885" w:type="dxa"/>
            <w:tcBorders>
              <w:top w:val="nil"/>
              <w:left w:val="nil"/>
              <w:bottom w:val="nil"/>
              <w:right w:val="nil"/>
            </w:tcBorders>
            <w:shd w:val="clear" w:color="auto" w:fill="auto"/>
            <w:noWrap/>
            <w:vAlign w:val="bottom"/>
            <w:hideMark/>
          </w:tcPr>
          <w:p w14:paraId="032655A7" w14:textId="77777777" w:rsidR="00B56CB1" w:rsidRPr="00B56CB1" w:rsidRDefault="00B56CB1" w:rsidP="00B56CB1">
            <w:pPr>
              <w:rPr>
                <w:sz w:val="20"/>
                <w:lang w:val="en-AU" w:eastAsia="en-AU"/>
              </w:rPr>
            </w:pPr>
          </w:p>
        </w:tc>
      </w:tr>
      <w:tr w:rsidR="00B56CB1" w:rsidRPr="00B56CB1" w14:paraId="3F86A16E" w14:textId="77777777" w:rsidTr="00B56CB1">
        <w:trPr>
          <w:trHeight w:val="300"/>
        </w:trPr>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414B36FB"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280</w:t>
            </w:r>
          </w:p>
        </w:tc>
        <w:tc>
          <w:tcPr>
            <w:tcW w:w="885" w:type="dxa"/>
            <w:tcBorders>
              <w:top w:val="nil"/>
              <w:left w:val="nil"/>
              <w:bottom w:val="single" w:sz="4" w:space="0" w:color="auto"/>
              <w:right w:val="single" w:sz="4" w:space="0" w:color="auto"/>
            </w:tcBorders>
            <w:shd w:val="clear" w:color="auto" w:fill="auto"/>
            <w:noWrap/>
            <w:vAlign w:val="bottom"/>
            <w:hideMark/>
          </w:tcPr>
          <w:p w14:paraId="7D89062F"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64</w:t>
            </w:r>
          </w:p>
        </w:tc>
        <w:tc>
          <w:tcPr>
            <w:tcW w:w="1035" w:type="dxa"/>
            <w:tcBorders>
              <w:top w:val="nil"/>
              <w:left w:val="nil"/>
              <w:bottom w:val="single" w:sz="4" w:space="0" w:color="auto"/>
              <w:right w:val="single" w:sz="4" w:space="0" w:color="auto"/>
            </w:tcBorders>
            <w:shd w:val="clear" w:color="auto" w:fill="auto"/>
            <w:noWrap/>
            <w:vAlign w:val="bottom"/>
            <w:hideMark/>
          </w:tcPr>
          <w:p w14:paraId="0CBF3276"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285</w:t>
            </w:r>
          </w:p>
        </w:tc>
        <w:tc>
          <w:tcPr>
            <w:tcW w:w="885" w:type="dxa"/>
            <w:tcBorders>
              <w:top w:val="nil"/>
              <w:left w:val="nil"/>
              <w:bottom w:val="single" w:sz="4" w:space="0" w:color="auto"/>
              <w:right w:val="single" w:sz="8" w:space="0" w:color="auto"/>
            </w:tcBorders>
            <w:shd w:val="clear" w:color="auto" w:fill="auto"/>
            <w:noWrap/>
            <w:vAlign w:val="bottom"/>
            <w:hideMark/>
          </w:tcPr>
          <w:p w14:paraId="1DFF963C"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57</w:t>
            </w:r>
          </w:p>
        </w:tc>
        <w:tc>
          <w:tcPr>
            <w:tcW w:w="960" w:type="dxa"/>
            <w:tcBorders>
              <w:top w:val="nil"/>
              <w:left w:val="nil"/>
              <w:bottom w:val="nil"/>
              <w:right w:val="nil"/>
            </w:tcBorders>
            <w:shd w:val="clear" w:color="auto" w:fill="auto"/>
            <w:noWrap/>
            <w:vAlign w:val="bottom"/>
            <w:hideMark/>
          </w:tcPr>
          <w:p w14:paraId="71334C91" w14:textId="77777777" w:rsidR="00B56CB1" w:rsidRPr="00B56CB1" w:rsidRDefault="00B56CB1" w:rsidP="00B56CB1">
            <w:pPr>
              <w:jc w:val="right"/>
              <w:rPr>
                <w:rFonts w:ascii="Calibri" w:hAnsi="Calibri" w:cs="Calibri"/>
                <w:color w:val="000000"/>
                <w:sz w:val="22"/>
                <w:szCs w:val="22"/>
                <w:lang w:val="en-AU" w:eastAsia="en-AU"/>
              </w:rPr>
            </w:pPr>
          </w:p>
        </w:tc>
        <w:tc>
          <w:tcPr>
            <w:tcW w:w="1035" w:type="dxa"/>
            <w:tcBorders>
              <w:top w:val="nil"/>
              <w:left w:val="nil"/>
              <w:bottom w:val="nil"/>
              <w:right w:val="nil"/>
            </w:tcBorders>
            <w:shd w:val="clear" w:color="auto" w:fill="auto"/>
            <w:noWrap/>
            <w:vAlign w:val="bottom"/>
            <w:hideMark/>
          </w:tcPr>
          <w:p w14:paraId="580D4F89" w14:textId="77777777" w:rsidR="00B56CB1" w:rsidRPr="00B56CB1" w:rsidRDefault="00B56CB1" w:rsidP="00B56CB1">
            <w:pPr>
              <w:rPr>
                <w:sz w:val="20"/>
                <w:lang w:val="en-AU" w:eastAsia="en-AU"/>
              </w:rPr>
            </w:pPr>
          </w:p>
        </w:tc>
        <w:tc>
          <w:tcPr>
            <w:tcW w:w="885" w:type="dxa"/>
            <w:tcBorders>
              <w:top w:val="nil"/>
              <w:left w:val="nil"/>
              <w:bottom w:val="nil"/>
              <w:right w:val="nil"/>
            </w:tcBorders>
            <w:shd w:val="clear" w:color="auto" w:fill="auto"/>
            <w:noWrap/>
            <w:vAlign w:val="bottom"/>
            <w:hideMark/>
          </w:tcPr>
          <w:p w14:paraId="11B1142A" w14:textId="77777777" w:rsidR="00B56CB1" w:rsidRPr="00B56CB1" w:rsidRDefault="00B56CB1" w:rsidP="00B56CB1">
            <w:pPr>
              <w:rPr>
                <w:sz w:val="20"/>
                <w:lang w:val="en-AU" w:eastAsia="en-AU"/>
              </w:rPr>
            </w:pPr>
          </w:p>
        </w:tc>
        <w:tc>
          <w:tcPr>
            <w:tcW w:w="1035" w:type="dxa"/>
            <w:tcBorders>
              <w:top w:val="nil"/>
              <w:left w:val="nil"/>
              <w:bottom w:val="nil"/>
              <w:right w:val="nil"/>
            </w:tcBorders>
            <w:shd w:val="clear" w:color="auto" w:fill="auto"/>
            <w:noWrap/>
            <w:vAlign w:val="bottom"/>
            <w:hideMark/>
          </w:tcPr>
          <w:p w14:paraId="515F371E" w14:textId="77777777" w:rsidR="00B56CB1" w:rsidRPr="00B56CB1" w:rsidRDefault="00B56CB1" w:rsidP="00B56CB1">
            <w:pPr>
              <w:rPr>
                <w:sz w:val="20"/>
                <w:lang w:val="en-AU" w:eastAsia="en-AU"/>
              </w:rPr>
            </w:pPr>
          </w:p>
        </w:tc>
        <w:tc>
          <w:tcPr>
            <w:tcW w:w="885" w:type="dxa"/>
            <w:tcBorders>
              <w:top w:val="nil"/>
              <w:left w:val="nil"/>
              <w:bottom w:val="nil"/>
              <w:right w:val="nil"/>
            </w:tcBorders>
            <w:shd w:val="clear" w:color="auto" w:fill="auto"/>
            <w:noWrap/>
            <w:vAlign w:val="bottom"/>
            <w:hideMark/>
          </w:tcPr>
          <w:p w14:paraId="4CD26C04" w14:textId="77777777" w:rsidR="00B56CB1" w:rsidRPr="00B56CB1" w:rsidRDefault="00B56CB1" w:rsidP="00B56CB1">
            <w:pPr>
              <w:rPr>
                <w:sz w:val="20"/>
                <w:lang w:val="en-AU" w:eastAsia="en-AU"/>
              </w:rPr>
            </w:pPr>
          </w:p>
        </w:tc>
      </w:tr>
      <w:tr w:rsidR="00B56CB1" w:rsidRPr="00B56CB1" w14:paraId="2A9F3709" w14:textId="77777777" w:rsidTr="00B56CB1">
        <w:trPr>
          <w:trHeight w:val="300"/>
        </w:trPr>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2AEBD9D8"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300</w:t>
            </w:r>
          </w:p>
        </w:tc>
        <w:tc>
          <w:tcPr>
            <w:tcW w:w="885" w:type="dxa"/>
            <w:tcBorders>
              <w:top w:val="nil"/>
              <w:left w:val="nil"/>
              <w:bottom w:val="single" w:sz="4" w:space="0" w:color="auto"/>
              <w:right w:val="single" w:sz="4" w:space="0" w:color="auto"/>
            </w:tcBorders>
            <w:shd w:val="clear" w:color="auto" w:fill="auto"/>
            <w:noWrap/>
            <w:vAlign w:val="bottom"/>
            <w:hideMark/>
          </w:tcPr>
          <w:p w14:paraId="351107FD"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58</w:t>
            </w:r>
          </w:p>
        </w:tc>
        <w:tc>
          <w:tcPr>
            <w:tcW w:w="1035" w:type="dxa"/>
            <w:tcBorders>
              <w:top w:val="nil"/>
              <w:left w:val="nil"/>
              <w:bottom w:val="single" w:sz="4" w:space="0" w:color="auto"/>
              <w:right w:val="single" w:sz="4" w:space="0" w:color="auto"/>
            </w:tcBorders>
            <w:shd w:val="clear" w:color="auto" w:fill="auto"/>
            <w:noWrap/>
            <w:vAlign w:val="bottom"/>
            <w:hideMark/>
          </w:tcPr>
          <w:p w14:paraId="696C4A8D"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297</w:t>
            </w:r>
          </w:p>
        </w:tc>
        <w:tc>
          <w:tcPr>
            <w:tcW w:w="885" w:type="dxa"/>
            <w:tcBorders>
              <w:top w:val="nil"/>
              <w:left w:val="nil"/>
              <w:bottom w:val="single" w:sz="4" w:space="0" w:color="auto"/>
              <w:right w:val="single" w:sz="8" w:space="0" w:color="auto"/>
            </w:tcBorders>
            <w:shd w:val="clear" w:color="auto" w:fill="auto"/>
            <w:noWrap/>
            <w:vAlign w:val="bottom"/>
            <w:hideMark/>
          </w:tcPr>
          <w:p w14:paraId="7A74F4A9"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78</w:t>
            </w:r>
          </w:p>
        </w:tc>
        <w:tc>
          <w:tcPr>
            <w:tcW w:w="960" w:type="dxa"/>
            <w:tcBorders>
              <w:top w:val="nil"/>
              <w:left w:val="nil"/>
              <w:bottom w:val="nil"/>
              <w:right w:val="nil"/>
            </w:tcBorders>
            <w:shd w:val="clear" w:color="auto" w:fill="auto"/>
            <w:noWrap/>
            <w:vAlign w:val="bottom"/>
            <w:hideMark/>
          </w:tcPr>
          <w:p w14:paraId="73DAF7BE" w14:textId="77777777" w:rsidR="00B56CB1" w:rsidRPr="00B56CB1" w:rsidRDefault="00B56CB1" w:rsidP="00B56CB1">
            <w:pPr>
              <w:jc w:val="right"/>
              <w:rPr>
                <w:rFonts w:ascii="Calibri" w:hAnsi="Calibri" w:cs="Calibri"/>
                <w:color w:val="000000"/>
                <w:sz w:val="22"/>
                <w:szCs w:val="22"/>
                <w:lang w:val="en-AU" w:eastAsia="en-AU"/>
              </w:rPr>
            </w:pPr>
          </w:p>
        </w:tc>
        <w:tc>
          <w:tcPr>
            <w:tcW w:w="1035" w:type="dxa"/>
            <w:tcBorders>
              <w:top w:val="nil"/>
              <w:left w:val="nil"/>
              <w:bottom w:val="nil"/>
              <w:right w:val="nil"/>
            </w:tcBorders>
            <w:shd w:val="clear" w:color="auto" w:fill="auto"/>
            <w:noWrap/>
            <w:vAlign w:val="bottom"/>
            <w:hideMark/>
          </w:tcPr>
          <w:p w14:paraId="325F3A12" w14:textId="77777777" w:rsidR="00B56CB1" w:rsidRPr="00B56CB1" w:rsidRDefault="00B56CB1" w:rsidP="00B56CB1">
            <w:pPr>
              <w:rPr>
                <w:sz w:val="20"/>
                <w:lang w:val="en-AU" w:eastAsia="en-AU"/>
              </w:rPr>
            </w:pPr>
          </w:p>
        </w:tc>
        <w:tc>
          <w:tcPr>
            <w:tcW w:w="885" w:type="dxa"/>
            <w:tcBorders>
              <w:top w:val="nil"/>
              <w:left w:val="nil"/>
              <w:bottom w:val="nil"/>
              <w:right w:val="nil"/>
            </w:tcBorders>
            <w:shd w:val="clear" w:color="auto" w:fill="auto"/>
            <w:noWrap/>
            <w:vAlign w:val="bottom"/>
            <w:hideMark/>
          </w:tcPr>
          <w:p w14:paraId="0A439CBC" w14:textId="77777777" w:rsidR="00B56CB1" w:rsidRPr="00B56CB1" w:rsidRDefault="00B56CB1" w:rsidP="00B56CB1">
            <w:pPr>
              <w:rPr>
                <w:sz w:val="20"/>
                <w:lang w:val="en-AU" w:eastAsia="en-AU"/>
              </w:rPr>
            </w:pPr>
          </w:p>
        </w:tc>
        <w:tc>
          <w:tcPr>
            <w:tcW w:w="1035" w:type="dxa"/>
            <w:tcBorders>
              <w:top w:val="nil"/>
              <w:left w:val="nil"/>
              <w:bottom w:val="nil"/>
              <w:right w:val="nil"/>
            </w:tcBorders>
            <w:shd w:val="clear" w:color="auto" w:fill="auto"/>
            <w:noWrap/>
            <w:vAlign w:val="bottom"/>
            <w:hideMark/>
          </w:tcPr>
          <w:p w14:paraId="5EE083C1" w14:textId="77777777" w:rsidR="00B56CB1" w:rsidRPr="00B56CB1" w:rsidRDefault="00B56CB1" w:rsidP="00B56CB1">
            <w:pPr>
              <w:rPr>
                <w:sz w:val="20"/>
                <w:lang w:val="en-AU" w:eastAsia="en-AU"/>
              </w:rPr>
            </w:pPr>
          </w:p>
        </w:tc>
        <w:tc>
          <w:tcPr>
            <w:tcW w:w="885" w:type="dxa"/>
            <w:tcBorders>
              <w:top w:val="nil"/>
              <w:left w:val="nil"/>
              <w:bottom w:val="nil"/>
              <w:right w:val="nil"/>
            </w:tcBorders>
            <w:shd w:val="clear" w:color="auto" w:fill="auto"/>
            <w:noWrap/>
            <w:vAlign w:val="bottom"/>
            <w:hideMark/>
          </w:tcPr>
          <w:p w14:paraId="662B6A70" w14:textId="77777777" w:rsidR="00B56CB1" w:rsidRPr="00B56CB1" w:rsidRDefault="00B56CB1" w:rsidP="00B56CB1">
            <w:pPr>
              <w:rPr>
                <w:sz w:val="20"/>
                <w:lang w:val="en-AU" w:eastAsia="en-AU"/>
              </w:rPr>
            </w:pPr>
          </w:p>
        </w:tc>
      </w:tr>
      <w:tr w:rsidR="00B56CB1" w:rsidRPr="00B56CB1" w14:paraId="598EB59D" w14:textId="77777777" w:rsidTr="00B56CB1">
        <w:trPr>
          <w:trHeight w:val="300"/>
        </w:trPr>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390F20C6"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304</w:t>
            </w:r>
          </w:p>
        </w:tc>
        <w:tc>
          <w:tcPr>
            <w:tcW w:w="885" w:type="dxa"/>
            <w:tcBorders>
              <w:top w:val="nil"/>
              <w:left w:val="nil"/>
              <w:bottom w:val="single" w:sz="4" w:space="0" w:color="auto"/>
              <w:right w:val="single" w:sz="4" w:space="0" w:color="auto"/>
            </w:tcBorders>
            <w:shd w:val="clear" w:color="auto" w:fill="auto"/>
            <w:noWrap/>
            <w:vAlign w:val="bottom"/>
            <w:hideMark/>
          </w:tcPr>
          <w:p w14:paraId="146910DE"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54</w:t>
            </w:r>
          </w:p>
        </w:tc>
        <w:tc>
          <w:tcPr>
            <w:tcW w:w="1035" w:type="dxa"/>
            <w:tcBorders>
              <w:top w:val="nil"/>
              <w:left w:val="nil"/>
              <w:bottom w:val="single" w:sz="4" w:space="0" w:color="auto"/>
              <w:right w:val="single" w:sz="4" w:space="0" w:color="auto"/>
            </w:tcBorders>
            <w:shd w:val="clear" w:color="auto" w:fill="auto"/>
            <w:noWrap/>
            <w:vAlign w:val="bottom"/>
            <w:hideMark/>
          </w:tcPr>
          <w:p w14:paraId="1DB8CC53"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300</w:t>
            </w:r>
          </w:p>
        </w:tc>
        <w:tc>
          <w:tcPr>
            <w:tcW w:w="885" w:type="dxa"/>
            <w:tcBorders>
              <w:top w:val="nil"/>
              <w:left w:val="nil"/>
              <w:bottom w:val="single" w:sz="4" w:space="0" w:color="auto"/>
              <w:right w:val="single" w:sz="8" w:space="0" w:color="auto"/>
            </w:tcBorders>
            <w:shd w:val="clear" w:color="auto" w:fill="auto"/>
            <w:noWrap/>
            <w:vAlign w:val="bottom"/>
            <w:hideMark/>
          </w:tcPr>
          <w:p w14:paraId="55833E0E"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63</w:t>
            </w:r>
          </w:p>
        </w:tc>
        <w:tc>
          <w:tcPr>
            <w:tcW w:w="960" w:type="dxa"/>
            <w:tcBorders>
              <w:top w:val="nil"/>
              <w:left w:val="nil"/>
              <w:bottom w:val="nil"/>
              <w:right w:val="nil"/>
            </w:tcBorders>
            <w:shd w:val="clear" w:color="auto" w:fill="auto"/>
            <w:noWrap/>
            <w:vAlign w:val="bottom"/>
            <w:hideMark/>
          </w:tcPr>
          <w:p w14:paraId="26F077E1" w14:textId="77777777" w:rsidR="00B56CB1" w:rsidRPr="00B56CB1" w:rsidRDefault="00B56CB1" w:rsidP="00B56CB1">
            <w:pPr>
              <w:jc w:val="right"/>
              <w:rPr>
                <w:rFonts w:ascii="Calibri" w:hAnsi="Calibri" w:cs="Calibri"/>
                <w:color w:val="000000"/>
                <w:sz w:val="22"/>
                <w:szCs w:val="22"/>
                <w:lang w:val="en-AU" w:eastAsia="en-AU"/>
              </w:rPr>
            </w:pPr>
          </w:p>
        </w:tc>
        <w:tc>
          <w:tcPr>
            <w:tcW w:w="1035" w:type="dxa"/>
            <w:tcBorders>
              <w:top w:val="nil"/>
              <w:left w:val="nil"/>
              <w:bottom w:val="nil"/>
              <w:right w:val="nil"/>
            </w:tcBorders>
            <w:shd w:val="clear" w:color="auto" w:fill="auto"/>
            <w:noWrap/>
            <w:vAlign w:val="bottom"/>
            <w:hideMark/>
          </w:tcPr>
          <w:p w14:paraId="7233AF94" w14:textId="77777777" w:rsidR="00B56CB1" w:rsidRPr="00B56CB1" w:rsidRDefault="00B56CB1" w:rsidP="00B56CB1">
            <w:pPr>
              <w:rPr>
                <w:sz w:val="20"/>
                <w:lang w:val="en-AU" w:eastAsia="en-AU"/>
              </w:rPr>
            </w:pPr>
          </w:p>
        </w:tc>
        <w:tc>
          <w:tcPr>
            <w:tcW w:w="885" w:type="dxa"/>
            <w:tcBorders>
              <w:top w:val="nil"/>
              <w:left w:val="nil"/>
              <w:bottom w:val="nil"/>
              <w:right w:val="nil"/>
            </w:tcBorders>
            <w:shd w:val="clear" w:color="auto" w:fill="auto"/>
            <w:noWrap/>
            <w:vAlign w:val="bottom"/>
            <w:hideMark/>
          </w:tcPr>
          <w:p w14:paraId="43E3AD7D" w14:textId="77777777" w:rsidR="00B56CB1" w:rsidRPr="00B56CB1" w:rsidRDefault="00B56CB1" w:rsidP="00B56CB1">
            <w:pPr>
              <w:rPr>
                <w:sz w:val="20"/>
                <w:lang w:val="en-AU" w:eastAsia="en-AU"/>
              </w:rPr>
            </w:pPr>
          </w:p>
        </w:tc>
        <w:tc>
          <w:tcPr>
            <w:tcW w:w="1035" w:type="dxa"/>
            <w:tcBorders>
              <w:top w:val="nil"/>
              <w:left w:val="nil"/>
              <w:bottom w:val="nil"/>
              <w:right w:val="nil"/>
            </w:tcBorders>
            <w:shd w:val="clear" w:color="auto" w:fill="auto"/>
            <w:noWrap/>
            <w:vAlign w:val="bottom"/>
            <w:hideMark/>
          </w:tcPr>
          <w:p w14:paraId="10835D78" w14:textId="77777777" w:rsidR="00B56CB1" w:rsidRPr="00B56CB1" w:rsidRDefault="00B56CB1" w:rsidP="00B56CB1">
            <w:pPr>
              <w:rPr>
                <w:sz w:val="20"/>
                <w:lang w:val="en-AU" w:eastAsia="en-AU"/>
              </w:rPr>
            </w:pPr>
          </w:p>
        </w:tc>
        <w:tc>
          <w:tcPr>
            <w:tcW w:w="885" w:type="dxa"/>
            <w:tcBorders>
              <w:top w:val="nil"/>
              <w:left w:val="nil"/>
              <w:bottom w:val="nil"/>
              <w:right w:val="nil"/>
            </w:tcBorders>
            <w:shd w:val="clear" w:color="auto" w:fill="auto"/>
            <w:noWrap/>
            <w:vAlign w:val="bottom"/>
            <w:hideMark/>
          </w:tcPr>
          <w:p w14:paraId="1AA57BE5" w14:textId="77777777" w:rsidR="00B56CB1" w:rsidRPr="00B56CB1" w:rsidRDefault="00B56CB1" w:rsidP="00B56CB1">
            <w:pPr>
              <w:rPr>
                <w:sz w:val="20"/>
                <w:lang w:val="en-AU" w:eastAsia="en-AU"/>
              </w:rPr>
            </w:pPr>
          </w:p>
        </w:tc>
      </w:tr>
      <w:tr w:rsidR="00B56CB1" w:rsidRPr="00B56CB1" w14:paraId="5A36A7B6" w14:textId="77777777" w:rsidTr="00B56CB1">
        <w:trPr>
          <w:trHeight w:val="315"/>
        </w:trPr>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52DA356E"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300</w:t>
            </w:r>
          </w:p>
        </w:tc>
        <w:tc>
          <w:tcPr>
            <w:tcW w:w="885" w:type="dxa"/>
            <w:tcBorders>
              <w:top w:val="nil"/>
              <w:left w:val="nil"/>
              <w:bottom w:val="single" w:sz="4" w:space="0" w:color="auto"/>
              <w:right w:val="single" w:sz="4" w:space="0" w:color="auto"/>
            </w:tcBorders>
            <w:shd w:val="clear" w:color="auto" w:fill="auto"/>
            <w:noWrap/>
            <w:vAlign w:val="bottom"/>
            <w:hideMark/>
          </w:tcPr>
          <w:p w14:paraId="18409E4C"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85</w:t>
            </w:r>
          </w:p>
        </w:tc>
        <w:tc>
          <w:tcPr>
            <w:tcW w:w="1035" w:type="dxa"/>
            <w:tcBorders>
              <w:top w:val="nil"/>
              <w:left w:val="nil"/>
              <w:bottom w:val="single" w:sz="4" w:space="0" w:color="auto"/>
              <w:right w:val="single" w:sz="4" w:space="0" w:color="auto"/>
            </w:tcBorders>
            <w:shd w:val="clear" w:color="auto" w:fill="auto"/>
            <w:noWrap/>
            <w:vAlign w:val="bottom"/>
            <w:hideMark/>
          </w:tcPr>
          <w:p w14:paraId="02057B37"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304</w:t>
            </w:r>
          </w:p>
        </w:tc>
        <w:tc>
          <w:tcPr>
            <w:tcW w:w="885" w:type="dxa"/>
            <w:tcBorders>
              <w:top w:val="nil"/>
              <w:left w:val="nil"/>
              <w:bottom w:val="single" w:sz="4" w:space="0" w:color="auto"/>
              <w:right w:val="single" w:sz="8" w:space="0" w:color="auto"/>
            </w:tcBorders>
            <w:shd w:val="clear" w:color="auto" w:fill="auto"/>
            <w:noWrap/>
            <w:vAlign w:val="bottom"/>
            <w:hideMark/>
          </w:tcPr>
          <w:p w14:paraId="2754A9E6"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75</w:t>
            </w:r>
          </w:p>
        </w:tc>
        <w:tc>
          <w:tcPr>
            <w:tcW w:w="960" w:type="dxa"/>
            <w:tcBorders>
              <w:top w:val="nil"/>
              <w:left w:val="nil"/>
              <w:bottom w:val="nil"/>
              <w:right w:val="nil"/>
            </w:tcBorders>
            <w:shd w:val="clear" w:color="auto" w:fill="auto"/>
            <w:noWrap/>
            <w:vAlign w:val="bottom"/>
            <w:hideMark/>
          </w:tcPr>
          <w:p w14:paraId="7606A9E1" w14:textId="77777777" w:rsidR="00B56CB1" w:rsidRPr="00B56CB1" w:rsidRDefault="00B56CB1" w:rsidP="00B56CB1">
            <w:pPr>
              <w:jc w:val="right"/>
              <w:rPr>
                <w:rFonts w:ascii="Calibri" w:hAnsi="Calibri" w:cs="Calibri"/>
                <w:color w:val="000000"/>
                <w:sz w:val="22"/>
                <w:szCs w:val="22"/>
                <w:lang w:val="en-AU" w:eastAsia="en-AU"/>
              </w:rPr>
            </w:pPr>
          </w:p>
        </w:tc>
        <w:tc>
          <w:tcPr>
            <w:tcW w:w="1035" w:type="dxa"/>
            <w:tcBorders>
              <w:top w:val="nil"/>
              <w:left w:val="nil"/>
              <w:bottom w:val="nil"/>
              <w:right w:val="nil"/>
            </w:tcBorders>
            <w:shd w:val="clear" w:color="auto" w:fill="auto"/>
            <w:noWrap/>
            <w:vAlign w:val="bottom"/>
            <w:hideMark/>
          </w:tcPr>
          <w:p w14:paraId="78B01EF6" w14:textId="77777777" w:rsidR="00B56CB1" w:rsidRPr="00B56CB1" w:rsidRDefault="00B56CB1" w:rsidP="00B56CB1">
            <w:pPr>
              <w:rPr>
                <w:sz w:val="20"/>
                <w:lang w:val="en-AU" w:eastAsia="en-AU"/>
              </w:rPr>
            </w:pPr>
          </w:p>
        </w:tc>
        <w:tc>
          <w:tcPr>
            <w:tcW w:w="885" w:type="dxa"/>
            <w:tcBorders>
              <w:top w:val="nil"/>
              <w:left w:val="nil"/>
              <w:bottom w:val="nil"/>
              <w:right w:val="nil"/>
            </w:tcBorders>
            <w:shd w:val="clear" w:color="auto" w:fill="auto"/>
            <w:noWrap/>
            <w:vAlign w:val="bottom"/>
            <w:hideMark/>
          </w:tcPr>
          <w:p w14:paraId="17A0B7E2" w14:textId="77777777" w:rsidR="00B56CB1" w:rsidRPr="00B56CB1" w:rsidRDefault="00B56CB1" w:rsidP="00B56CB1">
            <w:pPr>
              <w:rPr>
                <w:sz w:val="20"/>
                <w:lang w:val="en-AU" w:eastAsia="en-AU"/>
              </w:rPr>
            </w:pPr>
          </w:p>
        </w:tc>
        <w:tc>
          <w:tcPr>
            <w:tcW w:w="1035" w:type="dxa"/>
            <w:tcBorders>
              <w:top w:val="nil"/>
              <w:left w:val="nil"/>
              <w:bottom w:val="nil"/>
              <w:right w:val="nil"/>
            </w:tcBorders>
            <w:shd w:val="clear" w:color="auto" w:fill="auto"/>
            <w:noWrap/>
            <w:vAlign w:val="bottom"/>
            <w:hideMark/>
          </w:tcPr>
          <w:p w14:paraId="0BBB1DF7" w14:textId="77777777" w:rsidR="00B56CB1" w:rsidRPr="00B56CB1" w:rsidRDefault="00B56CB1" w:rsidP="00B56CB1">
            <w:pPr>
              <w:rPr>
                <w:sz w:val="20"/>
                <w:lang w:val="en-AU" w:eastAsia="en-AU"/>
              </w:rPr>
            </w:pPr>
          </w:p>
        </w:tc>
        <w:tc>
          <w:tcPr>
            <w:tcW w:w="885" w:type="dxa"/>
            <w:tcBorders>
              <w:top w:val="nil"/>
              <w:left w:val="nil"/>
              <w:bottom w:val="nil"/>
              <w:right w:val="nil"/>
            </w:tcBorders>
            <w:shd w:val="clear" w:color="auto" w:fill="auto"/>
            <w:noWrap/>
            <w:vAlign w:val="bottom"/>
            <w:hideMark/>
          </w:tcPr>
          <w:p w14:paraId="24793D70" w14:textId="77777777" w:rsidR="00B56CB1" w:rsidRPr="00B56CB1" w:rsidRDefault="00B56CB1" w:rsidP="00B56CB1">
            <w:pPr>
              <w:rPr>
                <w:sz w:val="20"/>
                <w:lang w:val="en-AU" w:eastAsia="en-AU"/>
              </w:rPr>
            </w:pPr>
          </w:p>
        </w:tc>
      </w:tr>
      <w:tr w:rsidR="00B56CB1" w:rsidRPr="00B56CB1" w14:paraId="52AB25F0" w14:textId="77777777" w:rsidTr="00B56CB1">
        <w:trPr>
          <w:trHeight w:val="300"/>
        </w:trPr>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7DCCC987"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303</w:t>
            </w:r>
          </w:p>
        </w:tc>
        <w:tc>
          <w:tcPr>
            <w:tcW w:w="885" w:type="dxa"/>
            <w:tcBorders>
              <w:top w:val="nil"/>
              <w:left w:val="nil"/>
              <w:bottom w:val="single" w:sz="4" w:space="0" w:color="auto"/>
              <w:right w:val="single" w:sz="4" w:space="0" w:color="auto"/>
            </w:tcBorders>
            <w:shd w:val="clear" w:color="auto" w:fill="auto"/>
            <w:noWrap/>
            <w:vAlign w:val="bottom"/>
            <w:hideMark/>
          </w:tcPr>
          <w:p w14:paraId="345C4D22"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83</w:t>
            </w:r>
          </w:p>
        </w:tc>
        <w:tc>
          <w:tcPr>
            <w:tcW w:w="1035" w:type="dxa"/>
            <w:tcBorders>
              <w:top w:val="nil"/>
              <w:left w:val="nil"/>
              <w:bottom w:val="single" w:sz="4" w:space="0" w:color="auto"/>
              <w:right w:val="single" w:sz="4" w:space="0" w:color="auto"/>
            </w:tcBorders>
            <w:shd w:val="clear" w:color="auto" w:fill="auto"/>
            <w:noWrap/>
            <w:vAlign w:val="bottom"/>
            <w:hideMark/>
          </w:tcPr>
          <w:p w14:paraId="5407EC63"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284</w:t>
            </w:r>
          </w:p>
        </w:tc>
        <w:tc>
          <w:tcPr>
            <w:tcW w:w="885" w:type="dxa"/>
            <w:tcBorders>
              <w:top w:val="nil"/>
              <w:left w:val="nil"/>
              <w:bottom w:val="single" w:sz="4" w:space="0" w:color="auto"/>
              <w:right w:val="single" w:sz="8" w:space="0" w:color="auto"/>
            </w:tcBorders>
            <w:shd w:val="clear" w:color="auto" w:fill="auto"/>
            <w:noWrap/>
            <w:vAlign w:val="bottom"/>
            <w:hideMark/>
          </w:tcPr>
          <w:p w14:paraId="4F048667"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57</w:t>
            </w:r>
          </w:p>
        </w:tc>
        <w:tc>
          <w:tcPr>
            <w:tcW w:w="960" w:type="dxa"/>
            <w:tcBorders>
              <w:top w:val="nil"/>
              <w:left w:val="nil"/>
              <w:bottom w:val="nil"/>
              <w:right w:val="nil"/>
            </w:tcBorders>
            <w:shd w:val="clear" w:color="auto" w:fill="auto"/>
            <w:noWrap/>
            <w:vAlign w:val="bottom"/>
            <w:hideMark/>
          </w:tcPr>
          <w:p w14:paraId="7BA50198" w14:textId="77777777" w:rsidR="00B56CB1" w:rsidRPr="00B56CB1" w:rsidRDefault="00B56CB1" w:rsidP="00B56CB1">
            <w:pPr>
              <w:jc w:val="right"/>
              <w:rPr>
                <w:rFonts w:ascii="Calibri" w:hAnsi="Calibri" w:cs="Calibri"/>
                <w:color w:val="000000"/>
                <w:sz w:val="22"/>
                <w:szCs w:val="22"/>
                <w:lang w:val="en-AU" w:eastAsia="en-AU"/>
              </w:rPr>
            </w:pPr>
          </w:p>
        </w:tc>
        <w:tc>
          <w:tcPr>
            <w:tcW w:w="1035" w:type="dxa"/>
            <w:tcBorders>
              <w:top w:val="nil"/>
              <w:left w:val="nil"/>
              <w:bottom w:val="nil"/>
              <w:right w:val="nil"/>
            </w:tcBorders>
            <w:shd w:val="clear" w:color="auto" w:fill="auto"/>
            <w:noWrap/>
            <w:vAlign w:val="bottom"/>
            <w:hideMark/>
          </w:tcPr>
          <w:p w14:paraId="043B1ECE" w14:textId="77777777" w:rsidR="00B56CB1" w:rsidRPr="00B56CB1" w:rsidRDefault="00B56CB1" w:rsidP="00B56CB1">
            <w:pPr>
              <w:rPr>
                <w:sz w:val="20"/>
                <w:lang w:val="en-AU" w:eastAsia="en-AU"/>
              </w:rPr>
            </w:pPr>
          </w:p>
        </w:tc>
        <w:tc>
          <w:tcPr>
            <w:tcW w:w="885" w:type="dxa"/>
            <w:tcBorders>
              <w:top w:val="nil"/>
              <w:left w:val="nil"/>
              <w:bottom w:val="nil"/>
              <w:right w:val="nil"/>
            </w:tcBorders>
            <w:shd w:val="clear" w:color="auto" w:fill="auto"/>
            <w:noWrap/>
            <w:vAlign w:val="bottom"/>
            <w:hideMark/>
          </w:tcPr>
          <w:p w14:paraId="6B197E9A" w14:textId="77777777" w:rsidR="00B56CB1" w:rsidRPr="00B56CB1" w:rsidRDefault="00B56CB1" w:rsidP="00B56CB1">
            <w:pPr>
              <w:rPr>
                <w:sz w:val="20"/>
                <w:lang w:val="en-AU" w:eastAsia="en-AU"/>
              </w:rPr>
            </w:pPr>
          </w:p>
        </w:tc>
        <w:tc>
          <w:tcPr>
            <w:tcW w:w="1035" w:type="dxa"/>
            <w:tcBorders>
              <w:top w:val="nil"/>
              <w:left w:val="nil"/>
              <w:bottom w:val="nil"/>
              <w:right w:val="nil"/>
            </w:tcBorders>
            <w:shd w:val="clear" w:color="auto" w:fill="auto"/>
            <w:noWrap/>
            <w:vAlign w:val="bottom"/>
            <w:hideMark/>
          </w:tcPr>
          <w:p w14:paraId="4C1ADBDF" w14:textId="77777777" w:rsidR="00B56CB1" w:rsidRPr="00B56CB1" w:rsidRDefault="00B56CB1" w:rsidP="00B56CB1">
            <w:pPr>
              <w:rPr>
                <w:sz w:val="20"/>
                <w:lang w:val="en-AU" w:eastAsia="en-AU"/>
              </w:rPr>
            </w:pPr>
          </w:p>
        </w:tc>
        <w:tc>
          <w:tcPr>
            <w:tcW w:w="885" w:type="dxa"/>
            <w:tcBorders>
              <w:top w:val="nil"/>
              <w:left w:val="nil"/>
              <w:bottom w:val="nil"/>
              <w:right w:val="nil"/>
            </w:tcBorders>
            <w:shd w:val="clear" w:color="auto" w:fill="auto"/>
            <w:noWrap/>
            <w:vAlign w:val="bottom"/>
            <w:hideMark/>
          </w:tcPr>
          <w:p w14:paraId="3D71D2A7" w14:textId="77777777" w:rsidR="00B56CB1" w:rsidRPr="00B56CB1" w:rsidRDefault="00B56CB1" w:rsidP="00B56CB1">
            <w:pPr>
              <w:rPr>
                <w:sz w:val="20"/>
                <w:lang w:val="en-AU" w:eastAsia="en-AU"/>
              </w:rPr>
            </w:pPr>
          </w:p>
        </w:tc>
      </w:tr>
      <w:tr w:rsidR="00B56CB1" w:rsidRPr="00B56CB1" w14:paraId="1224EAC9" w14:textId="77777777" w:rsidTr="00B56CB1">
        <w:trPr>
          <w:trHeight w:val="300"/>
        </w:trPr>
        <w:tc>
          <w:tcPr>
            <w:tcW w:w="1035" w:type="dxa"/>
            <w:tcBorders>
              <w:top w:val="nil"/>
              <w:left w:val="single" w:sz="8" w:space="0" w:color="auto"/>
              <w:bottom w:val="single" w:sz="4" w:space="0" w:color="auto"/>
              <w:right w:val="single" w:sz="4" w:space="0" w:color="auto"/>
            </w:tcBorders>
            <w:shd w:val="clear" w:color="auto" w:fill="auto"/>
            <w:noWrap/>
            <w:vAlign w:val="bottom"/>
            <w:hideMark/>
          </w:tcPr>
          <w:p w14:paraId="0ADB36CA"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295</w:t>
            </w:r>
          </w:p>
        </w:tc>
        <w:tc>
          <w:tcPr>
            <w:tcW w:w="885" w:type="dxa"/>
            <w:tcBorders>
              <w:top w:val="nil"/>
              <w:left w:val="nil"/>
              <w:bottom w:val="single" w:sz="4" w:space="0" w:color="auto"/>
              <w:right w:val="single" w:sz="4" w:space="0" w:color="auto"/>
            </w:tcBorders>
            <w:shd w:val="clear" w:color="auto" w:fill="auto"/>
            <w:noWrap/>
            <w:vAlign w:val="bottom"/>
            <w:hideMark/>
          </w:tcPr>
          <w:p w14:paraId="16D1AB9E"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78</w:t>
            </w:r>
          </w:p>
        </w:tc>
        <w:tc>
          <w:tcPr>
            <w:tcW w:w="1035" w:type="dxa"/>
            <w:tcBorders>
              <w:top w:val="nil"/>
              <w:left w:val="nil"/>
              <w:bottom w:val="single" w:sz="4" w:space="0" w:color="auto"/>
              <w:right w:val="single" w:sz="4" w:space="0" w:color="auto"/>
            </w:tcBorders>
            <w:shd w:val="clear" w:color="auto" w:fill="auto"/>
            <w:noWrap/>
            <w:vAlign w:val="bottom"/>
            <w:hideMark/>
          </w:tcPr>
          <w:p w14:paraId="04B183C6"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290</w:t>
            </w:r>
          </w:p>
        </w:tc>
        <w:tc>
          <w:tcPr>
            <w:tcW w:w="885" w:type="dxa"/>
            <w:tcBorders>
              <w:top w:val="nil"/>
              <w:left w:val="nil"/>
              <w:bottom w:val="single" w:sz="4" w:space="0" w:color="auto"/>
              <w:right w:val="single" w:sz="8" w:space="0" w:color="auto"/>
            </w:tcBorders>
            <w:shd w:val="clear" w:color="auto" w:fill="auto"/>
            <w:noWrap/>
            <w:vAlign w:val="bottom"/>
            <w:hideMark/>
          </w:tcPr>
          <w:p w14:paraId="2918FF53"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72</w:t>
            </w:r>
          </w:p>
        </w:tc>
        <w:tc>
          <w:tcPr>
            <w:tcW w:w="960" w:type="dxa"/>
            <w:tcBorders>
              <w:top w:val="nil"/>
              <w:left w:val="nil"/>
              <w:bottom w:val="nil"/>
              <w:right w:val="nil"/>
            </w:tcBorders>
            <w:shd w:val="clear" w:color="auto" w:fill="auto"/>
            <w:noWrap/>
            <w:vAlign w:val="bottom"/>
            <w:hideMark/>
          </w:tcPr>
          <w:p w14:paraId="3F07D610" w14:textId="77777777" w:rsidR="00B56CB1" w:rsidRPr="00B56CB1" w:rsidRDefault="00B56CB1" w:rsidP="00B56CB1">
            <w:pPr>
              <w:jc w:val="right"/>
              <w:rPr>
                <w:rFonts w:ascii="Calibri" w:hAnsi="Calibri" w:cs="Calibri"/>
                <w:color w:val="000000"/>
                <w:sz w:val="22"/>
                <w:szCs w:val="22"/>
                <w:lang w:val="en-AU" w:eastAsia="en-AU"/>
              </w:rPr>
            </w:pPr>
          </w:p>
        </w:tc>
        <w:tc>
          <w:tcPr>
            <w:tcW w:w="1035" w:type="dxa"/>
            <w:tcBorders>
              <w:top w:val="nil"/>
              <w:left w:val="nil"/>
              <w:bottom w:val="nil"/>
              <w:right w:val="nil"/>
            </w:tcBorders>
            <w:shd w:val="clear" w:color="auto" w:fill="auto"/>
            <w:noWrap/>
            <w:vAlign w:val="bottom"/>
            <w:hideMark/>
          </w:tcPr>
          <w:p w14:paraId="2AAC0585" w14:textId="77777777" w:rsidR="00B56CB1" w:rsidRPr="00B56CB1" w:rsidRDefault="00B56CB1" w:rsidP="00B56CB1">
            <w:pPr>
              <w:rPr>
                <w:sz w:val="20"/>
                <w:lang w:val="en-AU" w:eastAsia="en-AU"/>
              </w:rPr>
            </w:pPr>
          </w:p>
        </w:tc>
        <w:tc>
          <w:tcPr>
            <w:tcW w:w="885" w:type="dxa"/>
            <w:tcBorders>
              <w:top w:val="nil"/>
              <w:left w:val="nil"/>
              <w:bottom w:val="nil"/>
              <w:right w:val="nil"/>
            </w:tcBorders>
            <w:shd w:val="clear" w:color="auto" w:fill="auto"/>
            <w:noWrap/>
            <w:vAlign w:val="bottom"/>
            <w:hideMark/>
          </w:tcPr>
          <w:p w14:paraId="245C93C3" w14:textId="77777777" w:rsidR="00B56CB1" w:rsidRPr="00B56CB1" w:rsidRDefault="00B56CB1" w:rsidP="00B56CB1">
            <w:pPr>
              <w:rPr>
                <w:sz w:val="20"/>
                <w:lang w:val="en-AU" w:eastAsia="en-AU"/>
              </w:rPr>
            </w:pPr>
          </w:p>
        </w:tc>
        <w:tc>
          <w:tcPr>
            <w:tcW w:w="1035" w:type="dxa"/>
            <w:tcBorders>
              <w:top w:val="nil"/>
              <w:left w:val="nil"/>
              <w:bottom w:val="nil"/>
              <w:right w:val="nil"/>
            </w:tcBorders>
            <w:shd w:val="clear" w:color="auto" w:fill="auto"/>
            <w:noWrap/>
            <w:vAlign w:val="bottom"/>
            <w:hideMark/>
          </w:tcPr>
          <w:p w14:paraId="0E9D6E85" w14:textId="77777777" w:rsidR="00B56CB1" w:rsidRPr="00B56CB1" w:rsidRDefault="00B56CB1" w:rsidP="00B56CB1">
            <w:pPr>
              <w:rPr>
                <w:sz w:val="20"/>
                <w:lang w:val="en-AU" w:eastAsia="en-AU"/>
              </w:rPr>
            </w:pPr>
          </w:p>
        </w:tc>
        <w:tc>
          <w:tcPr>
            <w:tcW w:w="885" w:type="dxa"/>
            <w:tcBorders>
              <w:top w:val="nil"/>
              <w:left w:val="nil"/>
              <w:bottom w:val="nil"/>
              <w:right w:val="nil"/>
            </w:tcBorders>
            <w:shd w:val="clear" w:color="auto" w:fill="auto"/>
            <w:noWrap/>
            <w:vAlign w:val="bottom"/>
            <w:hideMark/>
          </w:tcPr>
          <w:p w14:paraId="48A58D27" w14:textId="77777777" w:rsidR="00B56CB1" w:rsidRPr="00B56CB1" w:rsidRDefault="00B56CB1" w:rsidP="00B56CB1">
            <w:pPr>
              <w:rPr>
                <w:sz w:val="20"/>
                <w:lang w:val="en-AU" w:eastAsia="en-AU"/>
              </w:rPr>
            </w:pPr>
          </w:p>
        </w:tc>
      </w:tr>
      <w:tr w:rsidR="00B56CB1" w:rsidRPr="00B56CB1" w14:paraId="558549CB" w14:textId="77777777" w:rsidTr="00B56CB1">
        <w:trPr>
          <w:trHeight w:val="315"/>
        </w:trPr>
        <w:tc>
          <w:tcPr>
            <w:tcW w:w="1035" w:type="dxa"/>
            <w:tcBorders>
              <w:top w:val="nil"/>
              <w:left w:val="single" w:sz="8" w:space="0" w:color="auto"/>
              <w:bottom w:val="single" w:sz="8" w:space="0" w:color="auto"/>
              <w:right w:val="single" w:sz="4" w:space="0" w:color="auto"/>
            </w:tcBorders>
            <w:shd w:val="clear" w:color="auto" w:fill="auto"/>
            <w:noWrap/>
            <w:vAlign w:val="bottom"/>
            <w:hideMark/>
          </w:tcPr>
          <w:p w14:paraId="2D4FDDCA"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287</w:t>
            </w:r>
          </w:p>
        </w:tc>
        <w:tc>
          <w:tcPr>
            <w:tcW w:w="885" w:type="dxa"/>
            <w:tcBorders>
              <w:top w:val="nil"/>
              <w:left w:val="nil"/>
              <w:bottom w:val="single" w:sz="8" w:space="0" w:color="auto"/>
              <w:right w:val="single" w:sz="4" w:space="0" w:color="auto"/>
            </w:tcBorders>
            <w:shd w:val="clear" w:color="auto" w:fill="auto"/>
            <w:noWrap/>
            <w:vAlign w:val="bottom"/>
            <w:hideMark/>
          </w:tcPr>
          <w:p w14:paraId="6BFC4DC5"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86</w:t>
            </w:r>
          </w:p>
        </w:tc>
        <w:tc>
          <w:tcPr>
            <w:tcW w:w="1035" w:type="dxa"/>
            <w:tcBorders>
              <w:top w:val="nil"/>
              <w:left w:val="nil"/>
              <w:bottom w:val="single" w:sz="8" w:space="0" w:color="auto"/>
              <w:right w:val="single" w:sz="4" w:space="0" w:color="auto"/>
            </w:tcBorders>
            <w:shd w:val="clear" w:color="auto" w:fill="auto"/>
            <w:noWrap/>
            <w:vAlign w:val="bottom"/>
            <w:hideMark/>
          </w:tcPr>
          <w:p w14:paraId="49407208"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295</w:t>
            </w:r>
          </w:p>
        </w:tc>
        <w:tc>
          <w:tcPr>
            <w:tcW w:w="885" w:type="dxa"/>
            <w:tcBorders>
              <w:top w:val="nil"/>
              <w:left w:val="nil"/>
              <w:bottom w:val="single" w:sz="8" w:space="0" w:color="auto"/>
              <w:right w:val="single" w:sz="8" w:space="0" w:color="auto"/>
            </w:tcBorders>
            <w:shd w:val="clear" w:color="auto" w:fill="auto"/>
            <w:noWrap/>
            <w:vAlign w:val="bottom"/>
            <w:hideMark/>
          </w:tcPr>
          <w:p w14:paraId="4863734C" w14:textId="77777777" w:rsidR="00B56CB1" w:rsidRPr="00B56CB1" w:rsidRDefault="00B56CB1" w:rsidP="00B56CB1">
            <w:pPr>
              <w:jc w:val="right"/>
              <w:rPr>
                <w:rFonts w:ascii="Calibri" w:hAnsi="Calibri" w:cs="Calibri"/>
                <w:color w:val="000000"/>
                <w:sz w:val="22"/>
                <w:szCs w:val="22"/>
                <w:lang w:val="en-AU" w:eastAsia="en-AU"/>
              </w:rPr>
            </w:pPr>
            <w:r w:rsidRPr="00B56CB1">
              <w:rPr>
                <w:rFonts w:ascii="Calibri" w:hAnsi="Calibri" w:cs="Calibri"/>
                <w:color w:val="000000"/>
                <w:sz w:val="22"/>
                <w:szCs w:val="22"/>
                <w:lang w:val="en-AU" w:eastAsia="en-AU"/>
              </w:rPr>
              <w:t>47</w:t>
            </w:r>
          </w:p>
        </w:tc>
        <w:tc>
          <w:tcPr>
            <w:tcW w:w="960" w:type="dxa"/>
            <w:tcBorders>
              <w:top w:val="nil"/>
              <w:left w:val="nil"/>
              <w:bottom w:val="nil"/>
              <w:right w:val="nil"/>
            </w:tcBorders>
            <w:shd w:val="clear" w:color="auto" w:fill="auto"/>
            <w:noWrap/>
            <w:vAlign w:val="bottom"/>
            <w:hideMark/>
          </w:tcPr>
          <w:p w14:paraId="2A4B1502" w14:textId="77777777" w:rsidR="00B56CB1" w:rsidRPr="00B56CB1" w:rsidRDefault="00B56CB1" w:rsidP="00B56CB1">
            <w:pPr>
              <w:jc w:val="right"/>
              <w:rPr>
                <w:rFonts w:ascii="Calibri" w:hAnsi="Calibri" w:cs="Calibri"/>
                <w:color w:val="000000"/>
                <w:sz w:val="22"/>
                <w:szCs w:val="22"/>
                <w:lang w:val="en-AU" w:eastAsia="en-AU"/>
              </w:rPr>
            </w:pPr>
          </w:p>
        </w:tc>
        <w:tc>
          <w:tcPr>
            <w:tcW w:w="1035" w:type="dxa"/>
            <w:tcBorders>
              <w:top w:val="nil"/>
              <w:left w:val="nil"/>
              <w:bottom w:val="nil"/>
              <w:right w:val="nil"/>
            </w:tcBorders>
            <w:shd w:val="clear" w:color="auto" w:fill="auto"/>
            <w:noWrap/>
            <w:vAlign w:val="bottom"/>
            <w:hideMark/>
          </w:tcPr>
          <w:p w14:paraId="1D71C4DF" w14:textId="77777777" w:rsidR="00B56CB1" w:rsidRPr="00B56CB1" w:rsidRDefault="00B56CB1" w:rsidP="00B56CB1">
            <w:pPr>
              <w:rPr>
                <w:sz w:val="20"/>
                <w:lang w:val="en-AU" w:eastAsia="en-AU"/>
              </w:rPr>
            </w:pPr>
          </w:p>
        </w:tc>
        <w:tc>
          <w:tcPr>
            <w:tcW w:w="885" w:type="dxa"/>
            <w:tcBorders>
              <w:top w:val="nil"/>
              <w:left w:val="nil"/>
              <w:bottom w:val="nil"/>
              <w:right w:val="nil"/>
            </w:tcBorders>
            <w:shd w:val="clear" w:color="auto" w:fill="auto"/>
            <w:noWrap/>
            <w:vAlign w:val="bottom"/>
            <w:hideMark/>
          </w:tcPr>
          <w:p w14:paraId="309A5C01" w14:textId="77777777" w:rsidR="00B56CB1" w:rsidRPr="00B56CB1" w:rsidRDefault="00B56CB1" w:rsidP="00B56CB1">
            <w:pPr>
              <w:rPr>
                <w:sz w:val="20"/>
                <w:lang w:val="en-AU" w:eastAsia="en-AU"/>
              </w:rPr>
            </w:pPr>
          </w:p>
        </w:tc>
        <w:tc>
          <w:tcPr>
            <w:tcW w:w="1035" w:type="dxa"/>
            <w:tcBorders>
              <w:top w:val="nil"/>
              <w:left w:val="nil"/>
              <w:bottom w:val="nil"/>
              <w:right w:val="nil"/>
            </w:tcBorders>
            <w:shd w:val="clear" w:color="auto" w:fill="auto"/>
            <w:noWrap/>
            <w:vAlign w:val="bottom"/>
            <w:hideMark/>
          </w:tcPr>
          <w:p w14:paraId="2CC866A9" w14:textId="77777777" w:rsidR="00B56CB1" w:rsidRPr="00B56CB1" w:rsidRDefault="00B56CB1" w:rsidP="00B56CB1">
            <w:pPr>
              <w:rPr>
                <w:sz w:val="20"/>
                <w:lang w:val="en-AU" w:eastAsia="en-AU"/>
              </w:rPr>
            </w:pPr>
          </w:p>
        </w:tc>
        <w:tc>
          <w:tcPr>
            <w:tcW w:w="885" w:type="dxa"/>
            <w:tcBorders>
              <w:top w:val="nil"/>
              <w:left w:val="nil"/>
              <w:bottom w:val="nil"/>
              <w:right w:val="nil"/>
            </w:tcBorders>
            <w:shd w:val="clear" w:color="auto" w:fill="auto"/>
            <w:noWrap/>
            <w:vAlign w:val="bottom"/>
            <w:hideMark/>
          </w:tcPr>
          <w:p w14:paraId="1F172223" w14:textId="77777777" w:rsidR="00B56CB1" w:rsidRPr="00B56CB1" w:rsidRDefault="00B56CB1" w:rsidP="00B56CB1">
            <w:pPr>
              <w:rPr>
                <w:sz w:val="20"/>
                <w:lang w:val="en-AU" w:eastAsia="en-AU"/>
              </w:rPr>
            </w:pPr>
          </w:p>
        </w:tc>
      </w:tr>
    </w:tbl>
    <w:p w14:paraId="30994307" w14:textId="42298133" w:rsidR="00B56CB1" w:rsidRDefault="00B56CB1">
      <w:pPr>
        <w:rPr>
          <w:b/>
          <w:bCs/>
          <w:color w:val="000000" w:themeColor="text1"/>
          <w:szCs w:val="24"/>
        </w:rPr>
      </w:pPr>
      <w:r>
        <w:rPr>
          <w:b/>
          <w:bCs/>
          <w:color w:val="000000" w:themeColor="text1"/>
          <w:szCs w:val="24"/>
        </w:rPr>
        <w:fldChar w:fldCharType="end"/>
      </w:r>
    </w:p>
    <w:p w14:paraId="0BA75286" w14:textId="25D3D9C2" w:rsidR="00FB3949" w:rsidRDefault="00FB3949" w:rsidP="00FB3949">
      <w:pPr>
        <w:rPr>
          <w:b/>
          <w:bCs/>
          <w:color w:val="000000" w:themeColor="text1"/>
          <w:szCs w:val="24"/>
        </w:rPr>
      </w:pPr>
      <w:r w:rsidRPr="00BF0EE8">
        <w:rPr>
          <w:b/>
          <w:bCs/>
          <w:noProof/>
          <w:color w:val="000000" w:themeColor="text1"/>
          <w:szCs w:val="24"/>
          <w:lang w:val="en-AU" w:eastAsia="en-AU"/>
        </w:rPr>
        <w:lastRenderedPageBreak/>
        <mc:AlternateContent>
          <mc:Choice Requires="wps">
            <w:drawing>
              <wp:anchor distT="45720" distB="45720" distL="114300" distR="114300" simplePos="0" relativeHeight="251659264" behindDoc="0" locked="0" layoutInCell="1" allowOverlap="1" wp14:anchorId="2D159800" wp14:editId="41401247">
                <wp:simplePos x="0" y="0"/>
                <wp:positionH relativeFrom="column">
                  <wp:posOffset>2977515</wp:posOffset>
                </wp:positionH>
                <wp:positionV relativeFrom="paragraph">
                  <wp:posOffset>2137410</wp:posOffset>
                </wp:positionV>
                <wp:extent cx="2731135" cy="42868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4286885"/>
                        </a:xfrm>
                        <a:prstGeom prst="rect">
                          <a:avLst/>
                        </a:prstGeom>
                        <a:solidFill>
                          <a:srgbClr val="FFFFFF"/>
                        </a:solidFill>
                        <a:ln w="9525">
                          <a:noFill/>
                          <a:miter lim="800000"/>
                          <a:headEnd/>
                          <a:tailEnd/>
                        </a:ln>
                      </wps:spPr>
                      <wps:txbx>
                        <w:txbxContent>
                          <w:p w14:paraId="4894B317" w14:textId="6262AA6C" w:rsidR="00BC6E82" w:rsidRDefault="00BC6E82" w:rsidP="00FB3949">
                            <w:r w:rsidRPr="00F962F4">
                              <w:rPr>
                                <w:b/>
                              </w:rPr>
                              <w:t>Figure S6</w:t>
                            </w:r>
                            <w:r>
                              <w:t>: Individual Kernel Density plots for the grouped Buffalo samples in Figures 2. Note ca. 1.3-1.0 Ga “Grenville,” ca. 1.45 midcontinent Granite-Rhyolite and ca. 1.9-1.6 age-</w:t>
                            </w:r>
                            <w:r w:rsidR="008812C3">
                              <w:t>component</w:t>
                            </w:r>
                            <w:r>
                              <w:t xml:space="preserve">s dominate (&gt;80%) </w:t>
                            </w:r>
                            <w:r w:rsidR="008812C3">
                              <w:t xml:space="preserve">the population of </w:t>
                            </w:r>
                            <w:r>
                              <w:t>all samples. Age-spectra are shown in kernel density estimates (KDE) with 25 myr band and binwidths (DensityPlotter8.5, Vermeesch, 2012). Ca. 760 Ma detrital zircon populations are over-represented due to our targeted sampling strategy. See Table S2 for various individual sample maximum depositional-age calculations. Colored age-fields are the same as Fig.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59800" id="_x0000_s1027" type="#_x0000_t202" style="position:absolute;margin-left:234.45pt;margin-top:168.3pt;width:215.05pt;height:337.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" stroked="f">
                <v:textbox>
                  <w:txbxContent>
                    <w:p w14:paraId="4894B317" w14:textId="6262AA6C" w:rsidR="00BC6E82" w:rsidRDefault="00BC6E82" w:rsidP="00FB3949">
                      <w:r w:rsidRPr="00F962F4">
                        <w:rPr>
                          <w:b/>
                        </w:rPr>
                        <w:t>Figure S6</w:t>
                      </w:r>
                      <w:r>
                        <w:t>: Individual Kernel Density plots for the grouped Buffalo samples in Figures 2. Note ca. 1.3-1.0 Ga “Grenville,” ca. 1.45 midcontinent Granite-Rhyolite and ca. 1.9-1.6 age-</w:t>
                      </w:r>
                      <w:r w:rsidR="008812C3">
                        <w:t>component</w:t>
                      </w:r>
                      <w:r>
                        <w:t xml:space="preserve">s dominate (&gt;80%) </w:t>
                      </w:r>
                      <w:r w:rsidR="008812C3">
                        <w:t xml:space="preserve">the population of </w:t>
                      </w:r>
                      <w:r>
                        <w:t>all samples. Age-spectra are shown in kernel density estimates (KDE) with 25 myr band and binwidths (DensityPlotter8.5, Vermeesch, 2012). Ca. 760 Ma detrital zircon populations are over-represented due to our targeted sampling strategy. See Table S2 for various individual sample maximum depositional-age calculations. Colored age-fields are the same as Fig. 2.</w:t>
                      </w:r>
                    </w:p>
                  </w:txbxContent>
                </v:textbox>
                <w10:wrap type="square"/>
              </v:shape>
            </w:pict>
          </mc:Fallback>
        </mc:AlternateContent>
      </w:r>
      <w:r>
        <w:rPr>
          <w:b/>
          <w:bCs/>
          <w:color w:val="000000" w:themeColor="text1"/>
          <w:szCs w:val="24"/>
        </w:rPr>
        <w:t>Individual sample DZ U-Pb results</w:t>
      </w:r>
      <w:r>
        <w:rPr>
          <w:b/>
          <w:bCs/>
          <w:color w:val="000000" w:themeColor="text1"/>
          <w:szCs w:val="24"/>
        </w:rPr>
        <w:br/>
      </w:r>
      <w:r>
        <w:rPr>
          <w:b/>
          <w:bCs/>
          <w:noProof/>
          <w:color w:val="000000" w:themeColor="text1"/>
          <w:szCs w:val="24"/>
          <w:lang w:val="en-AU" w:eastAsia="en-AU"/>
        </w:rPr>
        <w:drawing>
          <wp:inline distT="0" distB="0" distL="0" distR="0" wp14:anchorId="15F819C1" wp14:editId="7149C659">
            <wp:extent cx="2861766" cy="79965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LBH_includeconglom_25bandKDE10discord-01.jpg"/>
                    <pic:cNvPicPr/>
                  </pic:nvPicPr>
                  <pic:blipFill rotWithShape="1">
                    <a:blip r:embed="rId14" cstate="print">
                      <a:extLst>
                        <a:ext uri="{28A0092B-C50C-407E-A947-70E740481C1C}">
                          <a14:useLocalDpi xmlns:a14="http://schemas.microsoft.com/office/drawing/2010/main" val="0"/>
                        </a:ext>
                      </a:extLst>
                    </a:blip>
                    <a:srcRect l="50217" t="15476" r="12984" b="7148"/>
                    <a:stretch/>
                  </pic:blipFill>
                  <pic:spPr bwMode="auto">
                    <a:xfrm>
                      <a:off x="0" y="0"/>
                      <a:ext cx="2872439" cy="8026377"/>
                    </a:xfrm>
                    <a:prstGeom prst="rect">
                      <a:avLst/>
                    </a:prstGeom>
                    <a:ln>
                      <a:noFill/>
                    </a:ln>
                    <a:extLst>
                      <a:ext uri="{53640926-AAD7-44D8-BBD7-CCE9431645EC}">
                        <a14:shadowObscured xmlns:a14="http://schemas.microsoft.com/office/drawing/2010/main"/>
                      </a:ext>
                    </a:extLst>
                  </pic:spPr>
                </pic:pic>
              </a:graphicData>
            </a:graphic>
          </wp:inline>
        </w:drawing>
      </w:r>
    </w:p>
    <w:p w14:paraId="4C4DD3FA" w14:textId="6FAD2A85" w:rsidR="00FB3949" w:rsidRPr="00865301" w:rsidRDefault="00FB3949" w:rsidP="00FB3949">
      <w:pPr>
        <w:rPr>
          <w:b/>
          <w:szCs w:val="24"/>
        </w:rPr>
      </w:pPr>
      <w:r>
        <w:rPr>
          <w:color w:val="000000" w:themeColor="text1"/>
        </w:rPr>
        <w:br w:type="page"/>
      </w:r>
      <w:r>
        <w:rPr>
          <w:b/>
          <w:bCs/>
          <w:color w:val="000000" w:themeColor="text1"/>
          <w:szCs w:val="24"/>
        </w:rPr>
        <w:lastRenderedPageBreak/>
        <w:t>Alternative maximum depositional age calculations</w:t>
      </w:r>
    </w:p>
    <w:p w14:paraId="60C9EAB2" w14:textId="77777777" w:rsidR="00FB3949" w:rsidRDefault="00FB3949" w:rsidP="00FB3949">
      <w:pPr>
        <w:rPr>
          <w:b/>
          <w:szCs w:val="24"/>
        </w:rPr>
      </w:pPr>
    </w:p>
    <w:p w14:paraId="3D3D9671" w14:textId="69BE0A1B" w:rsidR="00FB3949" w:rsidRDefault="00EB1FAC" w:rsidP="00FB3949">
      <w:pPr>
        <w:rPr>
          <w:b/>
          <w:szCs w:val="24"/>
        </w:rPr>
      </w:pPr>
      <w:r w:rsidRPr="00EB1FAC">
        <w:rPr>
          <w:noProof/>
          <w:lang w:val="en-AU" w:eastAsia="en-AU"/>
        </w:rPr>
        <w:drawing>
          <wp:inline distT="0" distB="0" distL="0" distR="0" wp14:anchorId="1D5A929D" wp14:editId="1EF8C0D9">
            <wp:extent cx="5486400" cy="395343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953435"/>
                    </a:xfrm>
                    <a:prstGeom prst="rect">
                      <a:avLst/>
                    </a:prstGeom>
                    <a:noFill/>
                    <a:ln>
                      <a:noFill/>
                    </a:ln>
                  </pic:spPr>
                </pic:pic>
              </a:graphicData>
            </a:graphic>
          </wp:inline>
        </w:drawing>
      </w:r>
    </w:p>
    <w:p w14:paraId="7EC1367A" w14:textId="5B579D43" w:rsidR="00FB3949" w:rsidRDefault="00FB3949" w:rsidP="00FB3949">
      <w:pPr>
        <w:spacing w:line="360" w:lineRule="auto"/>
        <w:ind w:firstLine="720"/>
        <w:contextualSpacing/>
        <w:rPr>
          <w:szCs w:val="24"/>
        </w:rPr>
      </w:pPr>
      <w:r w:rsidRPr="00F962F4">
        <w:rPr>
          <w:b/>
          <w:szCs w:val="24"/>
        </w:rPr>
        <w:t xml:space="preserve">Table </w:t>
      </w:r>
      <w:r w:rsidR="00E671CA" w:rsidRPr="00F962F4">
        <w:rPr>
          <w:b/>
          <w:szCs w:val="24"/>
        </w:rPr>
        <w:t>S2</w:t>
      </w:r>
      <w:r w:rsidR="00F962F4">
        <w:rPr>
          <w:szCs w:val="24"/>
        </w:rPr>
        <w:t>:</w:t>
      </w:r>
      <w:r>
        <w:rPr>
          <w:szCs w:val="24"/>
        </w:rPr>
        <w:t xml:space="preserve"> Addit</w:t>
      </w:r>
      <w:r w:rsidR="00EF78E0">
        <w:rPr>
          <w:szCs w:val="24"/>
        </w:rPr>
        <w:t xml:space="preserve">ional maximum depositional ages </w:t>
      </w:r>
      <w:r>
        <w:rPr>
          <w:szCs w:val="24"/>
        </w:rPr>
        <w:t>calculations for each individua</w:t>
      </w:r>
      <w:r w:rsidR="00324D86">
        <w:rPr>
          <w:szCs w:val="24"/>
        </w:rPr>
        <w:t>l Buffalo Hump sandstone sample</w:t>
      </w:r>
      <w:r w:rsidR="008C5017">
        <w:rPr>
          <w:szCs w:val="24"/>
        </w:rPr>
        <w:t xml:space="preserve">. Our preferred </w:t>
      </w:r>
      <w:r w:rsidR="00EF78E0">
        <w:rPr>
          <w:szCs w:val="24"/>
        </w:rPr>
        <w:t xml:space="preserve">maximum depositional ages </w:t>
      </w:r>
      <w:r w:rsidR="008C5017">
        <w:rPr>
          <w:szCs w:val="24"/>
        </w:rPr>
        <w:t>is</w:t>
      </w:r>
      <w:r w:rsidR="00EF78E0">
        <w:rPr>
          <w:szCs w:val="24"/>
        </w:rPr>
        <w:t xml:space="preserve"> 758±7</w:t>
      </w:r>
      <w:r>
        <w:rPr>
          <w:szCs w:val="24"/>
        </w:rPr>
        <w:t xml:space="preserve"> Ma</w:t>
      </w:r>
      <w:r w:rsidR="008C5017">
        <w:rPr>
          <w:szCs w:val="24"/>
        </w:rPr>
        <w:t xml:space="preserve"> for the Buffalo Hump Formation. </w:t>
      </w:r>
      <w:r>
        <w:rPr>
          <w:szCs w:val="24"/>
        </w:rPr>
        <w:t xml:space="preserve">Green boxes are </w:t>
      </w:r>
      <w:r w:rsidR="00EF78E0">
        <w:rPr>
          <w:szCs w:val="24"/>
        </w:rPr>
        <w:t xml:space="preserve">maximum depositional ages </w:t>
      </w:r>
      <w:r>
        <w:rPr>
          <w:szCs w:val="24"/>
        </w:rPr>
        <w:t xml:space="preserve">calculations that overlap (within 2σ uncertainty) with our preferred </w:t>
      </w:r>
      <w:r w:rsidR="00EF78E0">
        <w:rPr>
          <w:szCs w:val="24"/>
        </w:rPr>
        <w:t>maximum depositional ages</w:t>
      </w:r>
      <w:r>
        <w:rPr>
          <w:szCs w:val="24"/>
        </w:rPr>
        <w:t>.</w:t>
      </w:r>
      <w:r w:rsidR="00EF78E0">
        <w:rPr>
          <w:szCs w:val="24"/>
        </w:rPr>
        <w:t xml:space="preserve"> Samples shown in blue boxes calculated maximum depositional ages that are older than our preferred age (within 2σ uncertainty)</w:t>
      </w:r>
      <w:r>
        <w:rPr>
          <w:szCs w:val="24"/>
        </w:rPr>
        <w:t xml:space="preserve">. Only sample BH1 records MDA calculations that are younger than our preferred </w:t>
      </w:r>
      <w:r w:rsidR="00EF78E0">
        <w:rPr>
          <w:szCs w:val="24"/>
        </w:rPr>
        <w:t xml:space="preserve">maximum depositional age </w:t>
      </w:r>
      <w:r>
        <w:rPr>
          <w:szCs w:val="24"/>
        </w:rPr>
        <w:t>(within 2σ uncertainty; yellow boxes). This may reflect</w:t>
      </w:r>
      <w:r w:rsidR="0015393F">
        <w:rPr>
          <w:szCs w:val="24"/>
        </w:rPr>
        <w:t xml:space="preserve"> </w:t>
      </w:r>
      <w:r>
        <w:rPr>
          <w:szCs w:val="24"/>
        </w:rPr>
        <w:t>the greater sample size of BH1 compared to the other samples and thus greater likelihood of</w:t>
      </w:r>
      <w:r w:rsidR="00966CA4">
        <w:rPr>
          <w:szCs w:val="24"/>
        </w:rPr>
        <w:t xml:space="preserve"> sampling</w:t>
      </w:r>
      <w:r w:rsidR="0015393F">
        <w:rPr>
          <w:szCs w:val="24"/>
        </w:rPr>
        <w:t xml:space="preserve"> either A)</w:t>
      </w:r>
      <w:r w:rsidR="00966CA4">
        <w:rPr>
          <w:szCs w:val="24"/>
        </w:rPr>
        <w:t xml:space="preserve"> very rare (likely &lt;0.2</w:t>
      </w:r>
      <w:r>
        <w:rPr>
          <w:szCs w:val="24"/>
        </w:rPr>
        <w:t xml:space="preserve">%) ca. 720-740 Ma grains or </w:t>
      </w:r>
      <w:r w:rsidR="00F423DA">
        <w:rPr>
          <w:szCs w:val="24"/>
        </w:rPr>
        <w:t>B)</w:t>
      </w:r>
      <w:r w:rsidR="00A900F8">
        <w:rPr>
          <w:szCs w:val="24"/>
        </w:rPr>
        <w:t xml:space="preserve"> </w:t>
      </w:r>
      <w:r>
        <w:rPr>
          <w:szCs w:val="24"/>
        </w:rPr>
        <w:t xml:space="preserve">ca. 760 Ma grains </w:t>
      </w:r>
      <w:r w:rsidR="00EF78E0">
        <w:rPr>
          <w:szCs w:val="24"/>
        </w:rPr>
        <w:t>that experienced minor Pb-loss.</w:t>
      </w:r>
    </w:p>
    <w:p w14:paraId="5AFCB120" w14:textId="77777777" w:rsidR="00C278D3" w:rsidRDefault="00C278D3" w:rsidP="004F799F">
      <w:pPr>
        <w:pStyle w:val="Heading1"/>
        <w:rPr>
          <w:color w:val="000000" w:themeColor="text1"/>
        </w:rPr>
      </w:pPr>
    </w:p>
    <w:p w14:paraId="1EF451D6" w14:textId="6C256CE9" w:rsidR="004F799F" w:rsidRPr="00C075DD" w:rsidRDefault="004F799F" w:rsidP="004F799F">
      <w:pPr>
        <w:pStyle w:val="Heading1"/>
        <w:rPr>
          <w:b w:val="0"/>
          <w:bCs w:val="0"/>
          <w:color w:val="000000" w:themeColor="text1"/>
        </w:rPr>
      </w:pPr>
      <w:r w:rsidRPr="00C075DD">
        <w:rPr>
          <w:color w:val="000000" w:themeColor="text1"/>
        </w:rPr>
        <w:t>Laser ablation split stream analysis (LA-SS-ICPMS) of Hf isotopes (LA-MC-ICPMS) and U-Pb ages (LA-Q-ICPMS)</w:t>
      </w:r>
    </w:p>
    <w:p w14:paraId="36862B0E" w14:textId="44890460" w:rsidR="00600E45" w:rsidRDefault="00600E45" w:rsidP="004F799F">
      <w:pPr>
        <w:spacing w:line="360" w:lineRule="auto"/>
        <w:ind w:firstLine="720"/>
        <w:contextualSpacing/>
        <w:rPr>
          <w:szCs w:val="24"/>
          <w:lang w:val="en-AU"/>
        </w:rPr>
      </w:pPr>
      <w:r w:rsidRPr="00BC6E82">
        <w:rPr>
          <w:szCs w:val="24"/>
          <w:lang w:val="en-AU"/>
        </w:rPr>
        <w:t xml:space="preserve">Zircon was concentrated using standard crushing and heavy liquid techniques and all laser ablation work was performed on individual mineral grains, mounted and polished </w:t>
      </w:r>
      <w:r w:rsidR="00915444">
        <w:rPr>
          <w:szCs w:val="24"/>
          <w:lang w:val="en-AU"/>
        </w:rPr>
        <w:t xml:space="preserve">to approximately the grain center </w:t>
      </w:r>
      <w:r w:rsidRPr="00BC6E82">
        <w:rPr>
          <w:szCs w:val="24"/>
          <w:lang w:val="en-AU"/>
        </w:rPr>
        <w:t>in 1″ epoxy rounds.</w:t>
      </w:r>
      <w:r w:rsidR="00915444">
        <w:rPr>
          <w:szCs w:val="24"/>
          <w:lang w:val="en-AU"/>
        </w:rPr>
        <w:t xml:space="preserve"> </w:t>
      </w:r>
      <w:r w:rsidR="00242ACE">
        <w:rPr>
          <w:szCs w:val="24"/>
          <w:lang w:val="en-AU"/>
        </w:rPr>
        <w:t xml:space="preserve">Note: BH1 was separated </w:t>
      </w:r>
      <w:r w:rsidR="00A509F4">
        <w:rPr>
          <w:szCs w:val="24"/>
          <w:lang w:val="en-AU"/>
        </w:rPr>
        <w:t xml:space="preserve">and mounted </w:t>
      </w:r>
      <w:r w:rsidR="00242ACE">
        <w:rPr>
          <w:szCs w:val="24"/>
          <w:lang w:val="en-AU"/>
        </w:rPr>
        <w:t xml:space="preserve">by A.R. Nordsvan ~9 months prior to </w:t>
      </w:r>
      <w:r w:rsidR="009149E2">
        <w:rPr>
          <w:szCs w:val="24"/>
          <w:lang w:val="en-AU"/>
        </w:rPr>
        <w:t xml:space="preserve">when </w:t>
      </w:r>
      <w:r w:rsidR="00676254">
        <w:rPr>
          <w:szCs w:val="24"/>
          <w:lang w:val="en-AU"/>
        </w:rPr>
        <w:t>D.T. Brennan separated the remaining samples</w:t>
      </w:r>
      <w:r w:rsidR="00242ACE">
        <w:rPr>
          <w:szCs w:val="24"/>
          <w:lang w:val="en-AU"/>
        </w:rPr>
        <w:t xml:space="preserve">, making contamination </w:t>
      </w:r>
      <w:r w:rsidR="008474F2">
        <w:rPr>
          <w:szCs w:val="24"/>
          <w:lang w:val="en-AU"/>
        </w:rPr>
        <w:t xml:space="preserve">by </w:t>
      </w:r>
      <w:r w:rsidR="00242ACE">
        <w:rPr>
          <w:szCs w:val="24"/>
          <w:lang w:val="en-AU"/>
        </w:rPr>
        <w:t>the</w:t>
      </w:r>
      <w:r w:rsidR="00F84ACB">
        <w:rPr>
          <w:szCs w:val="24"/>
          <w:lang w:val="en-AU"/>
        </w:rPr>
        <w:t xml:space="preserve"> same</w:t>
      </w:r>
      <w:r w:rsidR="00242ACE">
        <w:rPr>
          <w:szCs w:val="24"/>
          <w:lang w:val="en-AU"/>
        </w:rPr>
        <w:t xml:space="preserve"> ca. 760 ma DZ grains highly unlikely. </w:t>
      </w:r>
      <w:r w:rsidR="00915444">
        <w:rPr>
          <w:szCs w:val="24"/>
          <w:lang w:val="en-AU"/>
        </w:rPr>
        <w:t xml:space="preserve">After polishing, mounts were carbon coated and </w:t>
      </w:r>
      <w:r w:rsidR="00915444" w:rsidRPr="00915444">
        <w:rPr>
          <w:szCs w:val="24"/>
          <w:lang w:val="en-AU"/>
        </w:rPr>
        <w:t>cathodoluminescence</w:t>
      </w:r>
      <w:r w:rsidR="00915444">
        <w:rPr>
          <w:szCs w:val="24"/>
          <w:lang w:val="en-AU"/>
        </w:rPr>
        <w:t xml:space="preserve"> imaged with a TESCAN MIRA scanning electron microscope at the Microscopy and Microanalysis Facility in the John de Laeter Centre, for targeting of homogenous zircon zones. </w:t>
      </w:r>
    </w:p>
    <w:p w14:paraId="3EB5834E" w14:textId="2CEA6089" w:rsidR="004F799F" w:rsidRPr="00865301" w:rsidRDefault="004F799F" w:rsidP="004F799F">
      <w:pPr>
        <w:spacing w:line="360" w:lineRule="auto"/>
        <w:ind w:firstLine="720"/>
        <w:contextualSpacing/>
        <w:rPr>
          <w:szCs w:val="24"/>
        </w:rPr>
      </w:pPr>
      <w:r w:rsidRPr="00865301">
        <w:rPr>
          <w:szCs w:val="24"/>
        </w:rPr>
        <w:t>Hf isotopes</w:t>
      </w:r>
      <w:r>
        <w:rPr>
          <w:szCs w:val="24"/>
        </w:rPr>
        <w:t xml:space="preserve"> </w:t>
      </w:r>
      <w:r w:rsidRPr="00865301">
        <w:rPr>
          <w:szCs w:val="24"/>
        </w:rPr>
        <w:t xml:space="preserve">and U-Pb ages in zircon were simultaneously measured by laser ablation split stream at the Geohistory </w:t>
      </w:r>
      <w:r>
        <w:rPr>
          <w:szCs w:val="24"/>
        </w:rPr>
        <w:t>F</w:t>
      </w:r>
      <w:r w:rsidRPr="00865301">
        <w:rPr>
          <w:szCs w:val="24"/>
        </w:rPr>
        <w:t>acility in the John de Laeter Centre</w:t>
      </w:r>
      <w:r>
        <w:rPr>
          <w:szCs w:val="24"/>
        </w:rPr>
        <w:t xml:space="preserve"> across three analytical sessions</w:t>
      </w:r>
      <w:r w:rsidRPr="00865301">
        <w:rPr>
          <w:szCs w:val="24"/>
        </w:rPr>
        <w:t xml:space="preserve">. Zircon crystals mounted in 1” epoxy rounds were ablated using a Resonetics </w:t>
      </w:r>
      <w:r>
        <w:rPr>
          <w:szCs w:val="24"/>
        </w:rPr>
        <w:t>RESO</w:t>
      </w:r>
      <w:r w:rsidRPr="00865301">
        <w:rPr>
          <w:szCs w:val="24"/>
        </w:rPr>
        <w:t xml:space="preserve">lution </w:t>
      </w:r>
      <w:r>
        <w:rPr>
          <w:szCs w:val="24"/>
        </w:rPr>
        <w:t>SE</w:t>
      </w:r>
      <w:r w:rsidRPr="00865301">
        <w:rPr>
          <w:szCs w:val="24"/>
        </w:rPr>
        <w:t xml:space="preserve"> </w:t>
      </w:r>
      <w:r>
        <w:rPr>
          <w:szCs w:val="24"/>
        </w:rPr>
        <w:t xml:space="preserve">193nm laser </w:t>
      </w:r>
      <w:r w:rsidRPr="00865301">
        <w:rPr>
          <w:szCs w:val="24"/>
        </w:rPr>
        <w:t xml:space="preserve">incorporating </w:t>
      </w:r>
      <w:r>
        <w:rPr>
          <w:szCs w:val="24"/>
        </w:rPr>
        <w:t>a dual volume S155 sample cell</w:t>
      </w:r>
      <w:r w:rsidRPr="00865301">
        <w:rPr>
          <w:szCs w:val="24"/>
        </w:rPr>
        <w:t xml:space="preserve">, coupled to a Nu Plasma II multi-collector inductively coupled plasma mass spectrometer </w:t>
      </w:r>
      <w:r>
        <w:rPr>
          <w:szCs w:val="24"/>
        </w:rPr>
        <w:t>(</w:t>
      </w:r>
      <w:r w:rsidRPr="00865301">
        <w:rPr>
          <w:szCs w:val="24"/>
        </w:rPr>
        <w:t xml:space="preserve">MC-ICPMS) for Hf isotope determination and an </w:t>
      </w:r>
      <w:r>
        <w:rPr>
          <w:szCs w:val="24"/>
        </w:rPr>
        <w:t xml:space="preserve">Agilent 7700 or </w:t>
      </w:r>
      <w:r w:rsidRPr="00865301">
        <w:rPr>
          <w:szCs w:val="24"/>
        </w:rPr>
        <w:t xml:space="preserve">Agilent </w:t>
      </w:r>
      <w:r>
        <w:rPr>
          <w:szCs w:val="24"/>
        </w:rPr>
        <w:t>8900</w:t>
      </w:r>
      <w:r w:rsidRPr="00865301">
        <w:rPr>
          <w:szCs w:val="24"/>
        </w:rPr>
        <w:t xml:space="preserve"> quadrupole inductively coupled plasma mass spectrometer (Q-ICPMS) for age determination. Following two cleaning pulses and a 40s period of background analysis, samples were spot ablated for </w:t>
      </w:r>
      <w:r>
        <w:rPr>
          <w:szCs w:val="24"/>
        </w:rPr>
        <w:t>35</w:t>
      </w:r>
      <w:r w:rsidRPr="007A1929">
        <w:rPr>
          <w:szCs w:val="24"/>
        </w:rPr>
        <w:t>-40 s at a 7-10Hz repetition rate using a 38 or 50 μm beam and laser energy at the sample surface of 3.0 J cm</w:t>
      </w:r>
      <w:r w:rsidRPr="007A1929">
        <w:rPr>
          <w:szCs w:val="24"/>
          <w:vertAlign w:val="superscript"/>
        </w:rPr>
        <w:t>-2</w:t>
      </w:r>
      <w:r w:rsidRPr="007A1929">
        <w:rPr>
          <w:szCs w:val="24"/>
        </w:rPr>
        <w:t>.</w:t>
      </w:r>
      <w:r w:rsidRPr="00865301">
        <w:rPr>
          <w:szCs w:val="24"/>
        </w:rPr>
        <w:t xml:space="preserve"> An additional 15s of baseline was collected after ablation. The sample cell was flushed with ultrahigh purity </w:t>
      </w:r>
      <w:r w:rsidRPr="00877492">
        <w:rPr>
          <w:szCs w:val="24"/>
        </w:rPr>
        <w:t>He (320 mL min</w:t>
      </w:r>
      <w:r w:rsidRPr="00877492">
        <w:rPr>
          <w:szCs w:val="24"/>
          <w:vertAlign w:val="superscript"/>
        </w:rPr>
        <w:t>-1</w:t>
      </w:r>
      <w:r w:rsidRPr="00877492">
        <w:rPr>
          <w:szCs w:val="24"/>
        </w:rPr>
        <w:t>) and N</w:t>
      </w:r>
      <w:r w:rsidRPr="00877492">
        <w:rPr>
          <w:szCs w:val="24"/>
          <w:vertAlign w:val="subscript"/>
        </w:rPr>
        <w:t>2</w:t>
      </w:r>
      <w:r w:rsidRPr="00877492">
        <w:rPr>
          <w:szCs w:val="24"/>
        </w:rPr>
        <w:t xml:space="preserve"> (1.2 mL min</w:t>
      </w:r>
      <w:r w:rsidRPr="00877492">
        <w:rPr>
          <w:szCs w:val="24"/>
          <w:vertAlign w:val="superscript"/>
        </w:rPr>
        <w:t>-1</w:t>
      </w:r>
      <w:r w:rsidRPr="00877492">
        <w:rPr>
          <w:szCs w:val="24"/>
        </w:rPr>
        <w:t>) and</w:t>
      </w:r>
      <w:r w:rsidRPr="00865301">
        <w:rPr>
          <w:szCs w:val="24"/>
        </w:rPr>
        <w:t xml:space="preserve"> high purity Ar was employed as the plasma carrier gas, </w:t>
      </w:r>
      <w:r w:rsidRPr="00C65830">
        <w:rPr>
          <w:szCs w:val="24"/>
        </w:rPr>
        <w:t>split to</w:t>
      </w:r>
      <w:r w:rsidRPr="00865301">
        <w:rPr>
          <w:szCs w:val="24"/>
        </w:rPr>
        <w:t xml:space="preserve"> each mass spectrometer. </w:t>
      </w:r>
    </w:p>
    <w:p w14:paraId="79750B28" w14:textId="3AADE54E" w:rsidR="00CD4302" w:rsidRDefault="004F799F" w:rsidP="004F799F">
      <w:pPr>
        <w:spacing w:line="360" w:lineRule="auto"/>
        <w:ind w:firstLine="720"/>
        <w:contextualSpacing/>
        <w:rPr>
          <w:szCs w:val="24"/>
        </w:rPr>
      </w:pPr>
      <w:r w:rsidRPr="00865301">
        <w:rPr>
          <w:szCs w:val="24"/>
        </w:rPr>
        <w:t>For Hf isotope analysis, all isotopes (</w:t>
      </w:r>
      <w:r w:rsidRPr="00865301">
        <w:rPr>
          <w:szCs w:val="24"/>
          <w:vertAlign w:val="superscript"/>
        </w:rPr>
        <w:t>180</w:t>
      </w:r>
      <w:r w:rsidRPr="00865301">
        <w:rPr>
          <w:szCs w:val="24"/>
        </w:rPr>
        <w:t xml:space="preserve">Hf, </w:t>
      </w:r>
      <w:r w:rsidRPr="00865301">
        <w:rPr>
          <w:szCs w:val="24"/>
          <w:vertAlign w:val="superscript"/>
        </w:rPr>
        <w:t>179</w:t>
      </w:r>
      <w:r w:rsidRPr="00865301">
        <w:rPr>
          <w:szCs w:val="24"/>
        </w:rPr>
        <w:t xml:space="preserve">Hf, </w:t>
      </w:r>
      <w:r w:rsidRPr="00865301">
        <w:rPr>
          <w:szCs w:val="24"/>
          <w:vertAlign w:val="superscript"/>
        </w:rPr>
        <w:t>178</w:t>
      </w:r>
      <w:r w:rsidRPr="00865301">
        <w:rPr>
          <w:szCs w:val="24"/>
        </w:rPr>
        <w:t xml:space="preserve">Hf, </w:t>
      </w:r>
      <w:r w:rsidRPr="00865301">
        <w:rPr>
          <w:szCs w:val="24"/>
          <w:vertAlign w:val="superscript"/>
        </w:rPr>
        <w:t>177</w:t>
      </w:r>
      <w:r w:rsidRPr="00865301">
        <w:rPr>
          <w:szCs w:val="24"/>
        </w:rPr>
        <w:t xml:space="preserve">Hf, </w:t>
      </w:r>
      <w:r w:rsidRPr="00865301">
        <w:rPr>
          <w:szCs w:val="24"/>
          <w:vertAlign w:val="superscript"/>
        </w:rPr>
        <w:t>176</w:t>
      </w:r>
      <w:r w:rsidRPr="00865301">
        <w:rPr>
          <w:szCs w:val="24"/>
        </w:rPr>
        <w:t xml:space="preserve">Hf, </w:t>
      </w:r>
      <w:r w:rsidRPr="00865301">
        <w:rPr>
          <w:szCs w:val="24"/>
          <w:vertAlign w:val="superscript"/>
        </w:rPr>
        <w:t>175</w:t>
      </w:r>
      <w:r w:rsidRPr="00865301">
        <w:rPr>
          <w:szCs w:val="24"/>
        </w:rPr>
        <w:t xml:space="preserve">Lu, </w:t>
      </w:r>
      <w:r w:rsidRPr="00865301">
        <w:rPr>
          <w:szCs w:val="24"/>
          <w:vertAlign w:val="superscript"/>
        </w:rPr>
        <w:t>174</w:t>
      </w:r>
      <w:r w:rsidRPr="00865301">
        <w:rPr>
          <w:szCs w:val="24"/>
        </w:rPr>
        <w:t xml:space="preserve">Hf, </w:t>
      </w:r>
      <w:r w:rsidRPr="00865301">
        <w:rPr>
          <w:szCs w:val="24"/>
          <w:vertAlign w:val="superscript"/>
        </w:rPr>
        <w:t>173</w:t>
      </w:r>
      <w:r w:rsidRPr="00865301">
        <w:rPr>
          <w:szCs w:val="24"/>
        </w:rPr>
        <w:t xml:space="preserve">Yb, </w:t>
      </w:r>
      <w:r w:rsidRPr="00865301">
        <w:rPr>
          <w:szCs w:val="24"/>
          <w:vertAlign w:val="superscript"/>
        </w:rPr>
        <w:t>172</w:t>
      </w:r>
      <w:r w:rsidRPr="00865301">
        <w:rPr>
          <w:szCs w:val="24"/>
        </w:rPr>
        <w:t xml:space="preserve">Yb and </w:t>
      </w:r>
      <w:r w:rsidRPr="00865301">
        <w:rPr>
          <w:szCs w:val="24"/>
          <w:vertAlign w:val="superscript"/>
        </w:rPr>
        <w:t>171</w:t>
      </w:r>
      <w:r w:rsidRPr="00865301">
        <w:rPr>
          <w:szCs w:val="24"/>
        </w:rPr>
        <w:t xml:space="preserve">Yb) were counted on the Faraday collector array. Time resolved data was baseline subtracted and reduced using Iolite (DRS after Woodhead et al., 2004), where </w:t>
      </w:r>
      <w:r w:rsidRPr="00865301">
        <w:rPr>
          <w:szCs w:val="24"/>
          <w:vertAlign w:val="superscript"/>
        </w:rPr>
        <w:t>176</w:t>
      </w:r>
      <w:r w:rsidRPr="00865301">
        <w:rPr>
          <w:szCs w:val="24"/>
        </w:rPr>
        <w:t xml:space="preserve">Yb and </w:t>
      </w:r>
      <w:r w:rsidRPr="00865301">
        <w:rPr>
          <w:szCs w:val="24"/>
          <w:vertAlign w:val="superscript"/>
        </w:rPr>
        <w:t>176</w:t>
      </w:r>
      <w:r w:rsidRPr="00865301">
        <w:rPr>
          <w:szCs w:val="24"/>
        </w:rPr>
        <w:t xml:space="preserve">Lu were removed from the 176 mass signal using </w:t>
      </w:r>
      <w:r w:rsidRPr="00865301">
        <w:rPr>
          <w:szCs w:val="24"/>
          <w:vertAlign w:val="superscript"/>
        </w:rPr>
        <w:t>176</w:t>
      </w:r>
      <w:r w:rsidRPr="00865301">
        <w:rPr>
          <w:szCs w:val="24"/>
        </w:rPr>
        <w:t>Yb/</w:t>
      </w:r>
      <w:r w:rsidRPr="00865301">
        <w:rPr>
          <w:szCs w:val="24"/>
          <w:vertAlign w:val="superscript"/>
        </w:rPr>
        <w:t>173</w:t>
      </w:r>
      <w:r w:rsidRPr="00865301">
        <w:rPr>
          <w:szCs w:val="24"/>
        </w:rPr>
        <w:t xml:space="preserve">Yb = 0.7962 (Chu et al., 2002 and </w:t>
      </w:r>
      <w:r w:rsidRPr="00865301">
        <w:rPr>
          <w:szCs w:val="24"/>
          <w:vertAlign w:val="superscript"/>
        </w:rPr>
        <w:t>176</w:t>
      </w:r>
      <w:r w:rsidRPr="00865301">
        <w:rPr>
          <w:szCs w:val="24"/>
        </w:rPr>
        <w:t>Lu/</w:t>
      </w:r>
      <w:r w:rsidRPr="00865301">
        <w:rPr>
          <w:szCs w:val="24"/>
          <w:vertAlign w:val="superscript"/>
        </w:rPr>
        <w:t>175</w:t>
      </w:r>
      <w:r w:rsidRPr="00865301">
        <w:rPr>
          <w:szCs w:val="24"/>
        </w:rPr>
        <w:t xml:space="preserve">Lu = 0.02655 (Chu et al., 2002) with an exponential law mass bias correction assuming </w:t>
      </w:r>
      <w:r w:rsidRPr="00865301">
        <w:rPr>
          <w:szCs w:val="24"/>
          <w:vertAlign w:val="superscript"/>
        </w:rPr>
        <w:t>172</w:t>
      </w:r>
      <w:r w:rsidRPr="00865301">
        <w:rPr>
          <w:szCs w:val="24"/>
        </w:rPr>
        <w:t>Yb/</w:t>
      </w:r>
      <w:r w:rsidRPr="00865301">
        <w:rPr>
          <w:szCs w:val="24"/>
          <w:vertAlign w:val="superscript"/>
        </w:rPr>
        <w:t>173</w:t>
      </w:r>
      <w:r w:rsidRPr="00865301">
        <w:rPr>
          <w:szCs w:val="24"/>
        </w:rPr>
        <w:t xml:space="preserve">Yb = 1.35274 (Chu et al., 2002). </w:t>
      </w:r>
      <w:r w:rsidRPr="005C186A">
        <w:rPr>
          <w:szCs w:val="24"/>
          <w:lang w:val="en-AU"/>
        </w:rPr>
        <w:t xml:space="preserve">An </w:t>
      </w:r>
      <w:r w:rsidRPr="005C186A">
        <w:rPr>
          <w:szCs w:val="24"/>
          <w:lang w:val="en-AU"/>
        </w:rPr>
        <w:lastRenderedPageBreak/>
        <w:t>effective </w:t>
      </w:r>
      <w:r w:rsidRPr="005C186A">
        <w:rPr>
          <w:szCs w:val="24"/>
          <w:vertAlign w:val="superscript"/>
          <w:lang w:val="en-AU"/>
        </w:rPr>
        <w:t>176</w:t>
      </w:r>
      <w:r w:rsidRPr="005C186A">
        <w:rPr>
          <w:szCs w:val="24"/>
          <w:lang w:val="en-AU"/>
        </w:rPr>
        <w:t>Yb/</w:t>
      </w:r>
      <w:r w:rsidRPr="005C186A">
        <w:rPr>
          <w:szCs w:val="24"/>
          <w:vertAlign w:val="superscript"/>
          <w:lang w:val="en-AU"/>
        </w:rPr>
        <w:t>173</w:t>
      </w:r>
      <w:r w:rsidRPr="005C186A">
        <w:rPr>
          <w:szCs w:val="24"/>
          <w:lang w:val="en-AU"/>
        </w:rPr>
        <w:t xml:space="preserve">Yb correction factor was determined for each session by iteratively adjusting the </w:t>
      </w:r>
      <w:r w:rsidRPr="005C186A">
        <w:rPr>
          <w:szCs w:val="24"/>
          <w:vertAlign w:val="superscript"/>
          <w:lang w:val="en-AU"/>
        </w:rPr>
        <w:t>176</w:t>
      </w:r>
      <w:r w:rsidRPr="005C186A">
        <w:rPr>
          <w:szCs w:val="24"/>
          <w:lang w:val="en-AU"/>
        </w:rPr>
        <w:t>Yb/</w:t>
      </w:r>
      <w:r w:rsidRPr="005C186A">
        <w:rPr>
          <w:szCs w:val="24"/>
          <w:vertAlign w:val="superscript"/>
          <w:lang w:val="en-AU"/>
        </w:rPr>
        <w:t>173</w:t>
      </w:r>
      <w:r w:rsidRPr="005C186A">
        <w:rPr>
          <w:szCs w:val="24"/>
          <w:lang w:val="en-AU"/>
        </w:rPr>
        <w:t xml:space="preserve">Yb ratio until standard corrected ratios on </w:t>
      </w:r>
      <w:r>
        <w:rPr>
          <w:szCs w:val="24"/>
          <w:lang w:val="en-AU"/>
        </w:rPr>
        <w:t xml:space="preserve">secondary zircon reference materials with varying </w:t>
      </w:r>
      <w:r w:rsidRPr="005C186A">
        <w:rPr>
          <w:szCs w:val="24"/>
          <w:lang w:val="en-AU"/>
        </w:rPr>
        <w:t xml:space="preserve">Yb </w:t>
      </w:r>
      <w:r>
        <w:rPr>
          <w:szCs w:val="24"/>
          <w:lang w:val="en-AU"/>
        </w:rPr>
        <w:t xml:space="preserve">content </w:t>
      </w:r>
      <w:r w:rsidRPr="005C186A">
        <w:rPr>
          <w:szCs w:val="24"/>
          <w:lang w:val="en-AU"/>
        </w:rPr>
        <w:t>yield</w:t>
      </w:r>
      <w:r>
        <w:rPr>
          <w:szCs w:val="24"/>
          <w:lang w:val="en-AU"/>
        </w:rPr>
        <w:t>ed</w:t>
      </w:r>
      <w:r w:rsidRPr="005C186A">
        <w:rPr>
          <w:szCs w:val="24"/>
          <w:lang w:val="en-AU"/>
        </w:rPr>
        <w:t xml:space="preserve"> values within the recommended range. No correlation was apparent between the abundance of interfering isotopes (Yb or Lu) and corrected </w:t>
      </w:r>
      <w:r w:rsidRPr="005C186A">
        <w:rPr>
          <w:szCs w:val="24"/>
          <w:vertAlign w:val="superscript"/>
          <w:lang w:val="en-AU"/>
        </w:rPr>
        <w:t>176</w:t>
      </w:r>
      <w:r w:rsidRPr="005C186A">
        <w:rPr>
          <w:szCs w:val="24"/>
          <w:lang w:val="en-AU"/>
        </w:rPr>
        <w:t>Hf/</w:t>
      </w:r>
      <w:r w:rsidRPr="005C186A">
        <w:rPr>
          <w:szCs w:val="24"/>
          <w:vertAlign w:val="superscript"/>
          <w:lang w:val="en-AU"/>
        </w:rPr>
        <w:t>177</w:t>
      </w:r>
      <w:r w:rsidRPr="005C186A">
        <w:rPr>
          <w:szCs w:val="24"/>
          <w:lang w:val="en-AU"/>
        </w:rPr>
        <w:t xml:space="preserve">Hf ratios. </w:t>
      </w:r>
      <w:r w:rsidRPr="00865301">
        <w:rPr>
          <w:szCs w:val="24"/>
        </w:rPr>
        <w:t xml:space="preserve">The interference corrected </w:t>
      </w:r>
      <w:r w:rsidRPr="00865301">
        <w:rPr>
          <w:szCs w:val="24"/>
          <w:vertAlign w:val="superscript"/>
        </w:rPr>
        <w:t>176</w:t>
      </w:r>
      <w:r w:rsidRPr="00865301">
        <w:rPr>
          <w:szCs w:val="24"/>
        </w:rPr>
        <w:t>Hf/</w:t>
      </w:r>
      <w:r w:rsidRPr="00865301">
        <w:rPr>
          <w:szCs w:val="24"/>
          <w:vertAlign w:val="superscript"/>
        </w:rPr>
        <w:t>177</w:t>
      </w:r>
      <w:r w:rsidRPr="00865301">
        <w:rPr>
          <w:szCs w:val="24"/>
        </w:rPr>
        <w:t xml:space="preserve">Hf was normalized to </w:t>
      </w:r>
      <w:r w:rsidRPr="00865301">
        <w:rPr>
          <w:szCs w:val="24"/>
          <w:vertAlign w:val="superscript"/>
        </w:rPr>
        <w:t>179</w:t>
      </w:r>
      <w:r w:rsidRPr="00865301">
        <w:rPr>
          <w:szCs w:val="24"/>
        </w:rPr>
        <w:t>Hf/</w:t>
      </w:r>
      <w:r w:rsidRPr="00865301">
        <w:rPr>
          <w:szCs w:val="24"/>
          <w:vertAlign w:val="superscript"/>
        </w:rPr>
        <w:t>177</w:t>
      </w:r>
      <w:r w:rsidRPr="00865301">
        <w:rPr>
          <w:szCs w:val="24"/>
        </w:rPr>
        <w:t xml:space="preserve">Hf = 0.7325 (Patchett and Tatsumoto, 1980) for mass bias correction. Zircons from the Mud Tank carbonatite locality were analysed together with the samples in each session to </w:t>
      </w:r>
      <w:r>
        <w:rPr>
          <w:szCs w:val="24"/>
        </w:rPr>
        <w:t xml:space="preserve">provide standard referenced </w:t>
      </w:r>
      <w:r w:rsidRPr="00E15226">
        <w:rPr>
          <w:szCs w:val="24"/>
          <w:vertAlign w:val="superscript"/>
        </w:rPr>
        <w:t>176</w:t>
      </w:r>
      <w:r>
        <w:rPr>
          <w:szCs w:val="24"/>
        </w:rPr>
        <w:t>Hf/</w:t>
      </w:r>
      <w:r w:rsidRPr="00E15226">
        <w:rPr>
          <w:szCs w:val="24"/>
          <w:vertAlign w:val="superscript"/>
        </w:rPr>
        <w:t>177</w:t>
      </w:r>
      <w:r>
        <w:rPr>
          <w:szCs w:val="24"/>
        </w:rPr>
        <w:t>Hf ratios (</w:t>
      </w:r>
      <w:r w:rsidR="00E671CA" w:rsidRPr="00E671CA">
        <w:rPr>
          <w:szCs w:val="24"/>
        </w:rPr>
        <w:t>Table S3</w:t>
      </w:r>
      <w:r w:rsidRPr="00E671CA">
        <w:rPr>
          <w:szCs w:val="24"/>
        </w:rPr>
        <w:t>,</w:t>
      </w:r>
      <w:r>
        <w:rPr>
          <w:szCs w:val="24"/>
        </w:rPr>
        <w:t xml:space="preserve"> below)</w:t>
      </w:r>
      <w:r w:rsidRPr="00865301">
        <w:rPr>
          <w:szCs w:val="24"/>
        </w:rPr>
        <w:t xml:space="preserve">. </w:t>
      </w:r>
      <w:r>
        <w:rPr>
          <w:szCs w:val="24"/>
        </w:rPr>
        <w:t>In all cases, Mud Tank analyses reproduced the recommended value</w:t>
      </w:r>
      <w:r w:rsidRPr="00865301">
        <w:rPr>
          <w:szCs w:val="24"/>
        </w:rPr>
        <w:t xml:space="preserve"> (0.282505 ± 44; Woodhead and Hergt, 2005) within uncertainty</w:t>
      </w:r>
      <w:r>
        <w:rPr>
          <w:szCs w:val="24"/>
        </w:rPr>
        <w:t xml:space="preserve">. Data for secondary standards is also provided in </w:t>
      </w:r>
      <w:r w:rsidR="00E671CA" w:rsidRPr="00E671CA">
        <w:rPr>
          <w:szCs w:val="24"/>
        </w:rPr>
        <w:t>Table S3</w:t>
      </w:r>
      <w:r>
        <w:rPr>
          <w:szCs w:val="24"/>
        </w:rPr>
        <w:t xml:space="preserve">. All standards reproduced accepted values within uncertainty for each session. </w:t>
      </w:r>
      <w:r w:rsidRPr="00865301">
        <w:rPr>
          <w:szCs w:val="24"/>
        </w:rPr>
        <w:t xml:space="preserve">In addition, the corrected </w:t>
      </w:r>
      <w:r w:rsidRPr="00865301">
        <w:rPr>
          <w:szCs w:val="24"/>
          <w:vertAlign w:val="superscript"/>
        </w:rPr>
        <w:t>1</w:t>
      </w:r>
      <w:r>
        <w:rPr>
          <w:szCs w:val="24"/>
          <w:vertAlign w:val="superscript"/>
        </w:rPr>
        <w:t>78</w:t>
      </w:r>
      <w:r w:rsidRPr="00865301">
        <w:rPr>
          <w:szCs w:val="24"/>
        </w:rPr>
        <w:t>Hf/</w:t>
      </w:r>
      <w:r w:rsidRPr="00865301">
        <w:rPr>
          <w:szCs w:val="24"/>
          <w:vertAlign w:val="superscript"/>
        </w:rPr>
        <w:t>177</w:t>
      </w:r>
      <w:r w:rsidRPr="00865301">
        <w:rPr>
          <w:szCs w:val="24"/>
        </w:rPr>
        <w:t xml:space="preserve">Hf ratio was calculated to monitor the accuracy of the mass bias correction and yielded an average </w:t>
      </w:r>
      <w:r w:rsidRPr="00607C46">
        <w:rPr>
          <w:szCs w:val="24"/>
        </w:rPr>
        <w:t>value of 1.4671504 ± 0.0000056 (MSWD = 0.35),</w:t>
      </w:r>
      <w:r w:rsidRPr="00865301">
        <w:rPr>
          <w:szCs w:val="24"/>
        </w:rPr>
        <w:t xml:space="preserve"> which is within the range of values reported by Thirlwall and Anczkiewicz (2004). Calculation of εHf values employed the decay constant of Scherer et al. (2001) and the Chondritic Uniform Reservior (CHUR) values of B</w:t>
      </w:r>
      <w:r w:rsidR="000F48F1">
        <w:rPr>
          <w:szCs w:val="24"/>
        </w:rPr>
        <w:t>ouvier et al., (2008).</w:t>
      </w:r>
    </w:p>
    <w:p w14:paraId="37609A56" w14:textId="266D266C" w:rsidR="004F799F" w:rsidRDefault="004F799F" w:rsidP="00A977DF">
      <w:pPr>
        <w:rPr>
          <w:szCs w:val="24"/>
        </w:rPr>
      </w:pPr>
      <w:r w:rsidRPr="00F962F4">
        <w:rPr>
          <w:b/>
          <w:szCs w:val="24"/>
        </w:rPr>
        <w:t xml:space="preserve">Table </w:t>
      </w:r>
      <w:r w:rsidR="00E671CA" w:rsidRPr="00F962F4">
        <w:rPr>
          <w:b/>
          <w:szCs w:val="24"/>
        </w:rPr>
        <w:t>S3</w:t>
      </w:r>
      <w:r w:rsidR="00F962F4">
        <w:rPr>
          <w:szCs w:val="24"/>
        </w:rPr>
        <w:t>:</w:t>
      </w:r>
      <w:r>
        <w:rPr>
          <w:szCs w:val="24"/>
        </w:rPr>
        <w:t xml:space="preserve"> Recommended </w:t>
      </w:r>
      <w:r w:rsidRPr="008E7E0C">
        <w:rPr>
          <w:szCs w:val="24"/>
          <w:vertAlign w:val="superscript"/>
        </w:rPr>
        <w:t>176</w:t>
      </w:r>
      <w:r>
        <w:rPr>
          <w:szCs w:val="24"/>
        </w:rPr>
        <w:t>Hf/</w:t>
      </w:r>
      <w:r w:rsidRPr="008E7E0C">
        <w:rPr>
          <w:szCs w:val="24"/>
          <w:vertAlign w:val="superscript"/>
        </w:rPr>
        <w:t>177</w:t>
      </w:r>
      <w:r>
        <w:rPr>
          <w:szCs w:val="24"/>
        </w:rPr>
        <w:t>Hf value for zircon reference materials and weighted mean standard corrected ratio obtained in each analytical session (Mud Tank primary reference material).</w:t>
      </w:r>
    </w:p>
    <w:tbl>
      <w:tblPr>
        <w:tblStyle w:val="TableGrid"/>
        <w:tblW w:w="8163" w:type="dxa"/>
        <w:jc w:val="center"/>
        <w:tblLook w:val="04A0" w:firstRow="1" w:lastRow="0" w:firstColumn="1" w:lastColumn="0" w:noHBand="0" w:noVBand="1"/>
      </w:tblPr>
      <w:tblGrid>
        <w:gridCol w:w="994"/>
        <w:gridCol w:w="1483"/>
        <w:gridCol w:w="1858"/>
        <w:gridCol w:w="1834"/>
        <w:gridCol w:w="1994"/>
      </w:tblGrid>
      <w:tr w:rsidR="004F799F" w:rsidRPr="007A0AA7" w14:paraId="25CB0EF4" w14:textId="77777777" w:rsidTr="00D11173">
        <w:trPr>
          <w:trHeight w:val="471"/>
          <w:jc w:val="center"/>
        </w:trPr>
        <w:tc>
          <w:tcPr>
            <w:tcW w:w="994" w:type="dxa"/>
            <w:shd w:val="clear" w:color="auto" w:fill="E7E6E6" w:themeFill="background2"/>
          </w:tcPr>
          <w:p w14:paraId="100D9815" w14:textId="77777777" w:rsidR="004F799F" w:rsidRPr="00B8512F" w:rsidRDefault="004F799F" w:rsidP="00D11173">
            <w:pPr>
              <w:contextualSpacing/>
              <w:rPr>
                <w:rFonts w:ascii="Times New Roman" w:hAnsi="Times New Roman"/>
                <w:b/>
                <w:sz w:val="20"/>
                <w:szCs w:val="20"/>
              </w:rPr>
            </w:pPr>
            <w:r w:rsidRPr="00B8512F">
              <w:rPr>
                <w:rFonts w:ascii="Times New Roman" w:hAnsi="Times New Roman"/>
                <w:b/>
                <w:sz w:val="20"/>
                <w:szCs w:val="20"/>
              </w:rPr>
              <w:t>Zircon standard</w:t>
            </w:r>
          </w:p>
        </w:tc>
        <w:tc>
          <w:tcPr>
            <w:tcW w:w="1483" w:type="dxa"/>
            <w:shd w:val="clear" w:color="auto" w:fill="E7E6E6" w:themeFill="background2"/>
          </w:tcPr>
          <w:p w14:paraId="74901200" w14:textId="77777777" w:rsidR="004F799F" w:rsidRPr="00B8512F" w:rsidRDefault="004F799F" w:rsidP="00D11173">
            <w:pPr>
              <w:contextualSpacing/>
              <w:jc w:val="center"/>
              <w:rPr>
                <w:rFonts w:ascii="Times New Roman" w:hAnsi="Times New Roman"/>
                <w:b/>
                <w:sz w:val="20"/>
                <w:szCs w:val="20"/>
              </w:rPr>
            </w:pPr>
            <w:r w:rsidRPr="00B8512F">
              <w:rPr>
                <w:rFonts w:ascii="Times New Roman" w:hAnsi="Times New Roman"/>
                <w:b/>
                <w:sz w:val="20"/>
                <w:szCs w:val="20"/>
              </w:rPr>
              <w:t xml:space="preserve">Recommended </w:t>
            </w:r>
            <w:r w:rsidRPr="005F1F64">
              <w:rPr>
                <w:rFonts w:ascii="Times New Roman" w:hAnsi="Times New Roman"/>
                <w:b/>
                <w:sz w:val="20"/>
                <w:szCs w:val="20"/>
                <w:vertAlign w:val="superscript"/>
              </w:rPr>
              <w:t>176</w:t>
            </w:r>
            <w:r>
              <w:rPr>
                <w:rFonts w:ascii="Times New Roman" w:hAnsi="Times New Roman"/>
                <w:b/>
                <w:sz w:val="20"/>
                <w:szCs w:val="20"/>
              </w:rPr>
              <w:t>Hf/</w:t>
            </w:r>
            <w:r w:rsidRPr="005F1F64">
              <w:rPr>
                <w:rFonts w:ascii="Times New Roman" w:hAnsi="Times New Roman"/>
                <w:b/>
                <w:sz w:val="20"/>
                <w:szCs w:val="20"/>
                <w:vertAlign w:val="superscript"/>
              </w:rPr>
              <w:t>177</w:t>
            </w:r>
            <w:r>
              <w:rPr>
                <w:rFonts w:ascii="Times New Roman" w:hAnsi="Times New Roman"/>
                <w:b/>
                <w:sz w:val="20"/>
                <w:szCs w:val="20"/>
              </w:rPr>
              <w:t xml:space="preserve">Hf </w:t>
            </w:r>
          </w:p>
        </w:tc>
        <w:tc>
          <w:tcPr>
            <w:tcW w:w="1858" w:type="dxa"/>
            <w:shd w:val="clear" w:color="auto" w:fill="E7E6E6" w:themeFill="background2"/>
          </w:tcPr>
          <w:p w14:paraId="560F88ED" w14:textId="77777777" w:rsidR="004F799F" w:rsidRPr="00B8512F" w:rsidRDefault="004F799F" w:rsidP="00D11173">
            <w:pPr>
              <w:contextualSpacing/>
              <w:jc w:val="center"/>
              <w:rPr>
                <w:rFonts w:ascii="Times New Roman" w:hAnsi="Times New Roman"/>
                <w:b/>
                <w:sz w:val="20"/>
                <w:szCs w:val="20"/>
              </w:rPr>
            </w:pPr>
            <w:r w:rsidRPr="00B8512F">
              <w:rPr>
                <w:rFonts w:ascii="Times New Roman" w:hAnsi="Times New Roman"/>
                <w:b/>
                <w:sz w:val="20"/>
                <w:szCs w:val="20"/>
              </w:rPr>
              <w:t>Weighted mean for session 1</w:t>
            </w:r>
            <w:r>
              <w:rPr>
                <w:rFonts w:ascii="Times New Roman" w:hAnsi="Times New Roman"/>
                <w:b/>
                <w:sz w:val="20"/>
                <w:szCs w:val="20"/>
              </w:rPr>
              <w:t xml:space="preserve"> (3/12/2018)</w:t>
            </w:r>
          </w:p>
        </w:tc>
        <w:tc>
          <w:tcPr>
            <w:tcW w:w="1834" w:type="dxa"/>
            <w:shd w:val="clear" w:color="auto" w:fill="E7E6E6" w:themeFill="background2"/>
          </w:tcPr>
          <w:p w14:paraId="2D04E0EA" w14:textId="44524CA3" w:rsidR="004F799F" w:rsidRPr="00B8512F" w:rsidRDefault="004F799F" w:rsidP="00D11173">
            <w:pPr>
              <w:contextualSpacing/>
              <w:jc w:val="center"/>
              <w:rPr>
                <w:rFonts w:ascii="Times New Roman" w:hAnsi="Times New Roman"/>
                <w:b/>
                <w:sz w:val="20"/>
                <w:szCs w:val="20"/>
              </w:rPr>
            </w:pPr>
            <w:r w:rsidRPr="00B8512F">
              <w:rPr>
                <w:rFonts w:ascii="Times New Roman" w:hAnsi="Times New Roman"/>
                <w:b/>
                <w:sz w:val="20"/>
                <w:szCs w:val="20"/>
              </w:rPr>
              <w:t>W</w:t>
            </w:r>
            <w:r>
              <w:rPr>
                <w:rFonts w:ascii="Times New Roman" w:hAnsi="Times New Roman"/>
                <w:b/>
                <w:sz w:val="20"/>
                <w:szCs w:val="20"/>
              </w:rPr>
              <w:t>eighted mean for session 2 (09/05/2019)</w:t>
            </w:r>
          </w:p>
        </w:tc>
        <w:tc>
          <w:tcPr>
            <w:tcW w:w="1994" w:type="dxa"/>
            <w:shd w:val="clear" w:color="auto" w:fill="E7E6E6" w:themeFill="background2"/>
          </w:tcPr>
          <w:p w14:paraId="2F352B4E" w14:textId="77777777" w:rsidR="004F799F" w:rsidRPr="00B8512F" w:rsidRDefault="004F799F" w:rsidP="00D11173">
            <w:pPr>
              <w:contextualSpacing/>
              <w:jc w:val="center"/>
              <w:rPr>
                <w:rFonts w:ascii="Times New Roman" w:hAnsi="Times New Roman"/>
                <w:b/>
                <w:sz w:val="20"/>
                <w:szCs w:val="20"/>
              </w:rPr>
            </w:pPr>
            <w:r w:rsidRPr="00B8512F">
              <w:rPr>
                <w:rFonts w:ascii="Times New Roman" w:hAnsi="Times New Roman"/>
                <w:b/>
                <w:sz w:val="20"/>
                <w:szCs w:val="20"/>
              </w:rPr>
              <w:t>W</w:t>
            </w:r>
            <w:r>
              <w:rPr>
                <w:rFonts w:ascii="Times New Roman" w:hAnsi="Times New Roman"/>
                <w:b/>
                <w:sz w:val="20"/>
                <w:szCs w:val="20"/>
              </w:rPr>
              <w:t>eighted mean for session 3 (17/03/2020)</w:t>
            </w:r>
          </w:p>
        </w:tc>
      </w:tr>
      <w:tr w:rsidR="004F799F" w:rsidRPr="00B8512F" w14:paraId="1092B71E" w14:textId="77777777" w:rsidTr="00D11173">
        <w:trPr>
          <w:jc w:val="center"/>
        </w:trPr>
        <w:tc>
          <w:tcPr>
            <w:tcW w:w="994" w:type="dxa"/>
            <w:shd w:val="clear" w:color="auto" w:fill="E7E6E6" w:themeFill="background2"/>
            <w:vAlign w:val="center"/>
          </w:tcPr>
          <w:p w14:paraId="7A096248" w14:textId="77777777" w:rsidR="004F799F" w:rsidRPr="00B8512F" w:rsidRDefault="004F799F" w:rsidP="00D11173">
            <w:pPr>
              <w:contextualSpacing/>
              <w:jc w:val="center"/>
              <w:rPr>
                <w:rFonts w:ascii="Times New Roman" w:hAnsi="Times New Roman"/>
                <w:b/>
                <w:sz w:val="20"/>
                <w:szCs w:val="20"/>
              </w:rPr>
            </w:pPr>
            <w:r w:rsidRPr="00B8512F">
              <w:rPr>
                <w:rFonts w:ascii="Times New Roman" w:hAnsi="Times New Roman"/>
                <w:b/>
                <w:sz w:val="20"/>
                <w:szCs w:val="20"/>
              </w:rPr>
              <w:t>Mud Tank</w:t>
            </w:r>
          </w:p>
        </w:tc>
        <w:tc>
          <w:tcPr>
            <w:tcW w:w="1483" w:type="dxa"/>
          </w:tcPr>
          <w:p w14:paraId="550C5479" w14:textId="77777777" w:rsidR="004F799F" w:rsidRDefault="004F799F" w:rsidP="00D11173">
            <w:pPr>
              <w:contextualSpacing/>
              <w:jc w:val="center"/>
              <w:rPr>
                <w:rFonts w:ascii="Times New Roman" w:hAnsi="Times New Roman"/>
                <w:sz w:val="20"/>
                <w:szCs w:val="20"/>
              </w:rPr>
            </w:pPr>
            <w:r>
              <w:rPr>
                <w:rFonts w:ascii="Times New Roman" w:hAnsi="Times New Roman"/>
                <w:sz w:val="20"/>
                <w:szCs w:val="20"/>
              </w:rPr>
              <w:t>0.282505 ± 0.000044</w:t>
            </w:r>
          </w:p>
          <w:p w14:paraId="55118A96" w14:textId="77777777" w:rsidR="004F799F" w:rsidRPr="00B8512F" w:rsidRDefault="004F799F" w:rsidP="00D11173">
            <w:pPr>
              <w:contextualSpacing/>
              <w:jc w:val="center"/>
              <w:rPr>
                <w:rFonts w:ascii="Times New Roman" w:hAnsi="Times New Roman"/>
                <w:sz w:val="20"/>
                <w:szCs w:val="20"/>
              </w:rPr>
            </w:pPr>
            <w:r w:rsidRPr="00B8512F">
              <w:rPr>
                <w:sz w:val="20"/>
              </w:rPr>
              <w:fldChar w:fldCharType="begin" w:fldLock="1"/>
            </w:r>
            <w:r w:rsidRPr="00B8512F">
              <w:rPr>
                <w:rFonts w:ascii="Times New Roman" w:hAnsi="Times New Roman"/>
                <w:sz w:val="20"/>
                <w:szCs w:val="20"/>
              </w:rPr>
              <w:instrText>ADDIN CSL_CITATION {"citationItems":[{"id":"ITEM-1","itemData":{"DOI":"10.1111/j.1751-908X.2005.tb00891.x","ISSN":"0150-5505","author":[{"dropping-particle":"","family":"Woodhead","given":"J.","non-dropping-particle":"","parse-names":false,"suffix":""},{"dropping-particle":"","family":"Hergt","given":"J.","non-dropping-particle":"","parse-names":false,"suffix":""}],"container-title":"Geostandards and Geoanalytical Research","id":"ITEM-1","issue":"2","issued":{"date-parts":[["2005","7"]]},"page":"183-195","title":"A Preliminary Appraisal of Seven Natural Zircon Reference Materials for In Situ Hf Isotope Determination","type":"article-journal","volume":"29"},"uris":["http://www.mendeley.com/documents/?uuid=ce4ff36d-bcc5-4ddc-b488-dbd5be996725"]}],"mendeley":{"formattedCitation":"(Woodhead and Hergt, 2005)","plainTextFormattedCitation":"(Woodhead and Hergt, 2005)","previouslyFormattedCitation":"(Woodhead and Hergt, 2005)"},"properties":{"noteIndex":0},"schema":"https://github.com/citation-style-language/schema/raw/master/csl-citation.json"}</w:instrText>
            </w:r>
            <w:r w:rsidRPr="00B8512F">
              <w:rPr>
                <w:sz w:val="20"/>
              </w:rPr>
              <w:fldChar w:fldCharType="separate"/>
            </w:r>
            <w:r w:rsidRPr="003C34DB">
              <w:rPr>
                <w:rFonts w:ascii="Times New Roman" w:hAnsi="Times New Roman"/>
                <w:noProof/>
                <w:color w:val="000000" w:themeColor="text1"/>
                <w:sz w:val="20"/>
                <w:szCs w:val="20"/>
              </w:rPr>
              <w:t>(Woodhead and Hergt, 2005)</w:t>
            </w:r>
            <w:r w:rsidRPr="00B8512F">
              <w:rPr>
                <w:sz w:val="20"/>
              </w:rPr>
              <w:fldChar w:fldCharType="end"/>
            </w:r>
          </w:p>
        </w:tc>
        <w:tc>
          <w:tcPr>
            <w:tcW w:w="1858" w:type="dxa"/>
          </w:tcPr>
          <w:p w14:paraId="1CFE7429" w14:textId="77777777" w:rsidR="004F799F" w:rsidRPr="000F0852" w:rsidRDefault="004F799F" w:rsidP="00D11173">
            <w:pPr>
              <w:contextualSpacing/>
              <w:jc w:val="center"/>
              <w:rPr>
                <w:rFonts w:ascii="Times New Roman" w:hAnsi="Times New Roman"/>
                <w:color w:val="000000" w:themeColor="text1"/>
                <w:sz w:val="20"/>
                <w:szCs w:val="20"/>
              </w:rPr>
            </w:pPr>
            <w:r w:rsidRPr="000F0852">
              <w:rPr>
                <w:rFonts w:ascii="Times New Roman" w:hAnsi="Times New Roman"/>
                <w:color w:val="000000" w:themeColor="text1"/>
                <w:sz w:val="20"/>
                <w:szCs w:val="20"/>
              </w:rPr>
              <w:t xml:space="preserve">0.282507 ± 0.000006 </w:t>
            </w:r>
          </w:p>
          <w:p w14:paraId="68BB104D" w14:textId="77777777" w:rsidR="004F799F" w:rsidRPr="000F0852" w:rsidRDefault="004F799F" w:rsidP="00D11173">
            <w:pPr>
              <w:contextualSpacing/>
              <w:jc w:val="center"/>
              <w:rPr>
                <w:rFonts w:ascii="Times New Roman" w:hAnsi="Times New Roman"/>
                <w:color w:val="000000" w:themeColor="text1"/>
                <w:sz w:val="20"/>
                <w:szCs w:val="20"/>
              </w:rPr>
            </w:pPr>
            <w:r w:rsidRPr="000F0852">
              <w:rPr>
                <w:rFonts w:ascii="Times New Roman" w:hAnsi="Times New Roman"/>
                <w:color w:val="000000" w:themeColor="text1"/>
                <w:sz w:val="20"/>
                <w:szCs w:val="20"/>
              </w:rPr>
              <w:t>(MSWD = 0.47,</w:t>
            </w:r>
          </w:p>
          <w:p w14:paraId="6B6D37C8" w14:textId="77777777" w:rsidR="004F799F" w:rsidRPr="000F0852" w:rsidRDefault="004F799F" w:rsidP="00D11173">
            <w:pPr>
              <w:contextualSpacing/>
              <w:jc w:val="center"/>
              <w:rPr>
                <w:rFonts w:ascii="Times New Roman" w:hAnsi="Times New Roman"/>
                <w:color w:val="000000" w:themeColor="text1"/>
                <w:sz w:val="20"/>
                <w:szCs w:val="20"/>
              </w:rPr>
            </w:pPr>
            <w:r w:rsidRPr="000F0852">
              <w:rPr>
                <w:rFonts w:ascii="Times New Roman" w:hAnsi="Times New Roman"/>
                <w:color w:val="000000" w:themeColor="text1"/>
                <w:sz w:val="20"/>
                <w:szCs w:val="20"/>
              </w:rPr>
              <w:t>n = 17)</w:t>
            </w:r>
          </w:p>
        </w:tc>
        <w:tc>
          <w:tcPr>
            <w:tcW w:w="1834" w:type="dxa"/>
          </w:tcPr>
          <w:p w14:paraId="5801DD61" w14:textId="77777777" w:rsidR="004F799F" w:rsidRPr="000F0852" w:rsidRDefault="004F799F" w:rsidP="00D11173">
            <w:pPr>
              <w:contextualSpacing/>
              <w:jc w:val="center"/>
              <w:rPr>
                <w:rFonts w:ascii="Times New Roman" w:hAnsi="Times New Roman"/>
                <w:color w:val="000000" w:themeColor="text1"/>
                <w:sz w:val="20"/>
                <w:szCs w:val="20"/>
              </w:rPr>
            </w:pPr>
            <w:r w:rsidRPr="000F0852">
              <w:rPr>
                <w:rFonts w:ascii="Times New Roman" w:hAnsi="Times New Roman"/>
                <w:color w:val="000000" w:themeColor="text1"/>
                <w:sz w:val="20"/>
                <w:szCs w:val="20"/>
              </w:rPr>
              <w:t>0.282507 ± 0.000004 (MSWD = 0.89,</w:t>
            </w:r>
          </w:p>
          <w:p w14:paraId="5A96B777" w14:textId="2A342946" w:rsidR="004F799F" w:rsidRPr="000F0852" w:rsidRDefault="004F799F" w:rsidP="00D11173">
            <w:pPr>
              <w:contextualSpacing/>
              <w:jc w:val="center"/>
              <w:rPr>
                <w:rFonts w:ascii="Times New Roman" w:hAnsi="Times New Roman"/>
                <w:color w:val="000000" w:themeColor="text1"/>
                <w:sz w:val="20"/>
                <w:szCs w:val="20"/>
              </w:rPr>
            </w:pPr>
            <w:r w:rsidRPr="000F0852">
              <w:rPr>
                <w:rFonts w:ascii="Times New Roman" w:hAnsi="Times New Roman"/>
                <w:color w:val="000000" w:themeColor="text1"/>
                <w:sz w:val="20"/>
                <w:szCs w:val="20"/>
              </w:rPr>
              <w:t>n = 20)</w:t>
            </w:r>
          </w:p>
        </w:tc>
        <w:tc>
          <w:tcPr>
            <w:tcW w:w="1994" w:type="dxa"/>
          </w:tcPr>
          <w:p w14:paraId="63093947" w14:textId="77777777" w:rsidR="004F799F" w:rsidRPr="000F0852" w:rsidRDefault="004F799F" w:rsidP="00D11173">
            <w:pPr>
              <w:contextualSpacing/>
              <w:jc w:val="center"/>
              <w:rPr>
                <w:rFonts w:ascii="Times New Roman" w:hAnsi="Times New Roman"/>
                <w:color w:val="000000" w:themeColor="text1"/>
                <w:sz w:val="20"/>
                <w:szCs w:val="20"/>
              </w:rPr>
            </w:pPr>
            <w:r w:rsidRPr="000F0852">
              <w:rPr>
                <w:rFonts w:ascii="Times New Roman" w:hAnsi="Times New Roman"/>
                <w:color w:val="000000" w:themeColor="text1"/>
                <w:sz w:val="20"/>
                <w:szCs w:val="20"/>
              </w:rPr>
              <w:t xml:space="preserve">0.282507 ± 0.00009 </w:t>
            </w:r>
          </w:p>
          <w:p w14:paraId="73E74BF4" w14:textId="77777777" w:rsidR="004F799F" w:rsidRPr="000F0852" w:rsidRDefault="004F799F" w:rsidP="00D11173">
            <w:pPr>
              <w:contextualSpacing/>
              <w:jc w:val="center"/>
              <w:rPr>
                <w:rFonts w:ascii="Times New Roman" w:hAnsi="Times New Roman"/>
                <w:color w:val="000000" w:themeColor="text1"/>
                <w:sz w:val="20"/>
                <w:szCs w:val="20"/>
              </w:rPr>
            </w:pPr>
            <w:r w:rsidRPr="000F0852">
              <w:rPr>
                <w:rFonts w:ascii="Times New Roman" w:hAnsi="Times New Roman"/>
                <w:color w:val="000000" w:themeColor="text1"/>
                <w:sz w:val="20"/>
                <w:szCs w:val="20"/>
              </w:rPr>
              <w:t>(MSWD = 0.11,</w:t>
            </w:r>
          </w:p>
          <w:p w14:paraId="0B59D6D1" w14:textId="77777777" w:rsidR="004F799F" w:rsidRPr="000F0852" w:rsidRDefault="004F799F" w:rsidP="00D11173">
            <w:pPr>
              <w:contextualSpacing/>
              <w:jc w:val="center"/>
              <w:rPr>
                <w:rFonts w:ascii="Times New Roman" w:hAnsi="Times New Roman"/>
                <w:color w:val="000000" w:themeColor="text1"/>
                <w:sz w:val="20"/>
                <w:szCs w:val="20"/>
              </w:rPr>
            </w:pPr>
            <w:r w:rsidRPr="000F0852">
              <w:rPr>
                <w:rFonts w:ascii="Times New Roman" w:hAnsi="Times New Roman"/>
                <w:color w:val="000000" w:themeColor="text1"/>
                <w:sz w:val="20"/>
                <w:szCs w:val="20"/>
              </w:rPr>
              <w:t>n = 20)</w:t>
            </w:r>
          </w:p>
        </w:tc>
      </w:tr>
      <w:tr w:rsidR="004F799F" w:rsidRPr="00B8512F" w14:paraId="0193303B" w14:textId="77777777" w:rsidTr="00D11173">
        <w:trPr>
          <w:jc w:val="center"/>
        </w:trPr>
        <w:tc>
          <w:tcPr>
            <w:tcW w:w="994" w:type="dxa"/>
            <w:shd w:val="clear" w:color="auto" w:fill="E7E6E6" w:themeFill="background2"/>
            <w:vAlign w:val="center"/>
          </w:tcPr>
          <w:p w14:paraId="6787AD4C" w14:textId="77777777" w:rsidR="004F799F" w:rsidRPr="00B8512F" w:rsidRDefault="004F799F" w:rsidP="00D11173">
            <w:pPr>
              <w:contextualSpacing/>
              <w:jc w:val="center"/>
              <w:rPr>
                <w:rFonts w:ascii="Times New Roman" w:hAnsi="Times New Roman"/>
                <w:b/>
                <w:sz w:val="20"/>
                <w:szCs w:val="20"/>
              </w:rPr>
            </w:pPr>
            <w:r>
              <w:rPr>
                <w:rFonts w:ascii="Times New Roman" w:hAnsi="Times New Roman"/>
                <w:b/>
                <w:sz w:val="20"/>
                <w:szCs w:val="20"/>
              </w:rPr>
              <w:t>GJ-1</w:t>
            </w:r>
          </w:p>
        </w:tc>
        <w:tc>
          <w:tcPr>
            <w:tcW w:w="1483" w:type="dxa"/>
          </w:tcPr>
          <w:p w14:paraId="5B102DAD" w14:textId="77777777" w:rsidR="004F799F" w:rsidRDefault="004F799F" w:rsidP="00D11173">
            <w:pPr>
              <w:contextualSpacing/>
              <w:jc w:val="center"/>
              <w:rPr>
                <w:rFonts w:ascii="Times New Roman" w:hAnsi="Times New Roman"/>
                <w:sz w:val="20"/>
                <w:szCs w:val="20"/>
              </w:rPr>
            </w:pPr>
            <w:r w:rsidRPr="005A1F76">
              <w:rPr>
                <w:rFonts w:ascii="Times New Roman" w:hAnsi="Times New Roman"/>
                <w:sz w:val="20"/>
                <w:szCs w:val="20"/>
              </w:rPr>
              <w:t xml:space="preserve">0.282000 ± </w:t>
            </w:r>
            <w:r>
              <w:rPr>
                <w:rFonts w:ascii="Times New Roman" w:hAnsi="Times New Roman"/>
                <w:sz w:val="20"/>
                <w:szCs w:val="20"/>
              </w:rPr>
              <w:t>0.0000</w:t>
            </w:r>
            <w:r w:rsidRPr="005A1F76">
              <w:rPr>
                <w:rFonts w:ascii="Times New Roman" w:hAnsi="Times New Roman"/>
                <w:sz w:val="20"/>
                <w:szCs w:val="20"/>
              </w:rPr>
              <w:t xml:space="preserve">5, </w:t>
            </w:r>
            <w:r>
              <w:rPr>
                <w:rFonts w:ascii="Times New Roman" w:hAnsi="Times New Roman"/>
                <w:sz w:val="20"/>
                <w:szCs w:val="20"/>
              </w:rPr>
              <w:t>(</w:t>
            </w:r>
            <w:r w:rsidRPr="005A1F76">
              <w:rPr>
                <w:rFonts w:ascii="Times New Roman" w:hAnsi="Times New Roman"/>
                <w:sz w:val="20"/>
                <w:szCs w:val="20"/>
              </w:rPr>
              <w:t>Morel et al., 2008</w:t>
            </w:r>
            <w:r>
              <w:rPr>
                <w:rFonts w:ascii="Times New Roman" w:hAnsi="Times New Roman"/>
                <w:sz w:val="20"/>
                <w:szCs w:val="20"/>
              </w:rPr>
              <w:t>)</w:t>
            </w:r>
          </w:p>
        </w:tc>
        <w:tc>
          <w:tcPr>
            <w:tcW w:w="1858" w:type="dxa"/>
          </w:tcPr>
          <w:p w14:paraId="16B5235C" w14:textId="77777777" w:rsidR="004F799F" w:rsidRPr="000F0852" w:rsidRDefault="004F799F" w:rsidP="00D11173">
            <w:pPr>
              <w:contextualSpacing/>
              <w:jc w:val="center"/>
              <w:rPr>
                <w:rFonts w:ascii="Times New Roman" w:hAnsi="Times New Roman"/>
                <w:color w:val="000000" w:themeColor="text1"/>
                <w:sz w:val="20"/>
                <w:szCs w:val="20"/>
              </w:rPr>
            </w:pPr>
            <w:r w:rsidRPr="000F0852">
              <w:rPr>
                <w:rFonts w:ascii="Times New Roman" w:hAnsi="Times New Roman"/>
                <w:color w:val="000000" w:themeColor="text1"/>
                <w:sz w:val="20"/>
                <w:szCs w:val="20"/>
              </w:rPr>
              <w:t>0.282027 ± 0.000008 (MSWD = 0.21,</w:t>
            </w:r>
          </w:p>
          <w:p w14:paraId="3E1A4E46" w14:textId="77777777" w:rsidR="004F799F" w:rsidRPr="000F0852" w:rsidRDefault="004F799F" w:rsidP="00D11173">
            <w:pPr>
              <w:contextualSpacing/>
              <w:jc w:val="center"/>
              <w:rPr>
                <w:rFonts w:ascii="Times New Roman" w:hAnsi="Times New Roman"/>
                <w:color w:val="000000" w:themeColor="text1"/>
                <w:sz w:val="20"/>
                <w:szCs w:val="20"/>
              </w:rPr>
            </w:pPr>
            <w:r w:rsidRPr="000F0852">
              <w:rPr>
                <w:rFonts w:ascii="Times New Roman" w:hAnsi="Times New Roman"/>
                <w:color w:val="000000" w:themeColor="text1"/>
                <w:sz w:val="20"/>
                <w:szCs w:val="20"/>
              </w:rPr>
              <w:t>n = 16)</w:t>
            </w:r>
          </w:p>
        </w:tc>
        <w:tc>
          <w:tcPr>
            <w:tcW w:w="1834" w:type="dxa"/>
          </w:tcPr>
          <w:p w14:paraId="1239A2B5" w14:textId="77777777" w:rsidR="004F799F" w:rsidRPr="000F0852" w:rsidRDefault="004F799F" w:rsidP="00D11173">
            <w:pPr>
              <w:contextualSpacing/>
              <w:jc w:val="center"/>
              <w:rPr>
                <w:rFonts w:ascii="Times New Roman" w:hAnsi="Times New Roman"/>
                <w:color w:val="000000" w:themeColor="text1"/>
                <w:sz w:val="20"/>
                <w:szCs w:val="20"/>
              </w:rPr>
            </w:pPr>
            <w:r w:rsidRPr="000F0852">
              <w:rPr>
                <w:rFonts w:ascii="Times New Roman" w:hAnsi="Times New Roman"/>
                <w:color w:val="000000" w:themeColor="text1"/>
                <w:sz w:val="20"/>
                <w:szCs w:val="20"/>
              </w:rPr>
              <w:t>0.282011 ± 0.000005 (MSWD = 1.00,</w:t>
            </w:r>
          </w:p>
          <w:p w14:paraId="4823B3F9" w14:textId="77777777" w:rsidR="004F799F" w:rsidRPr="000F0852" w:rsidRDefault="004F799F" w:rsidP="00D11173">
            <w:pPr>
              <w:contextualSpacing/>
              <w:jc w:val="center"/>
              <w:rPr>
                <w:rFonts w:ascii="Times New Roman" w:hAnsi="Times New Roman"/>
                <w:color w:val="000000" w:themeColor="text1"/>
                <w:sz w:val="20"/>
                <w:szCs w:val="20"/>
              </w:rPr>
            </w:pPr>
            <w:r w:rsidRPr="000F0852">
              <w:rPr>
                <w:rFonts w:ascii="Times New Roman" w:hAnsi="Times New Roman"/>
                <w:color w:val="000000" w:themeColor="text1"/>
                <w:sz w:val="20"/>
                <w:szCs w:val="20"/>
              </w:rPr>
              <w:t>n = 19)</w:t>
            </w:r>
          </w:p>
        </w:tc>
        <w:tc>
          <w:tcPr>
            <w:tcW w:w="1994" w:type="dxa"/>
          </w:tcPr>
          <w:p w14:paraId="1CBC3678" w14:textId="77777777" w:rsidR="004F799F" w:rsidRPr="000F0852" w:rsidRDefault="004F799F" w:rsidP="00D11173">
            <w:pPr>
              <w:contextualSpacing/>
              <w:jc w:val="center"/>
              <w:rPr>
                <w:rFonts w:ascii="Times New Roman" w:hAnsi="Times New Roman"/>
                <w:color w:val="000000" w:themeColor="text1"/>
                <w:sz w:val="20"/>
                <w:szCs w:val="20"/>
              </w:rPr>
            </w:pPr>
            <w:r w:rsidRPr="000F0852">
              <w:rPr>
                <w:rFonts w:ascii="Times New Roman" w:hAnsi="Times New Roman"/>
                <w:color w:val="000000" w:themeColor="text1"/>
                <w:sz w:val="20"/>
                <w:szCs w:val="20"/>
              </w:rPr>
              <w:t xml:space="preserve">0.282013 ± 0.00005 </w:t>
            </w:r>
          </w:p>
          <w:p w14:paraId="7B82595B" w14:textId="77777777" w:rsidR="004F799F" w:rsidRPr="000F0852" w:rsidRDefault="004F799F" w:rsidP="00D11173">
            <w:pPr>
              <w:contextualSpacing/>
              <w:jc w:val="center"/>
              <w:rPr>
                <w:rFonts w:ascii="Times New Roman" w:hAnsi="Times New Roman"/>
                <w:color w:val="000000" w:themeColor="text1"/>
                <w:sz w:val="20"/>
                <w:szCs w:val="20"/>
              </w:rPr>
            </w:pPr>
            <w:r w:rsidRPr="000F0852">
              <w:rPr>
                <w:rFonts w:ascii="Times New Roman" w:hAnsi="Times New Roman"/>
                <w:color w:val="000000" w:themeColor="text1"/>
                <w:sz w:val="20"/>
                <w:szCs w:val="20"/>
              </w:rPr>
              <w:t>(MSWD = 0.30,</w:t>
            </w:r>
          </w:p>
          <w:p w14:paraId="52AAE800" w14:textId="77777777" w:rsidR="004F799F" w:rsidRPr="000F0852" w:rsidRDefault="004F799F" w:rsidP="00D11173">
            <w:pPr>
              <w:contextualSpacing/>
              <w:jc w:val="center"/>
              <w:rPr>
                <w:rFonts w:ascii="Times New Roman" w:hAnsi="Times New Roman"/>
                <w:color w:val="000000" w:themeColor="text1"/>
                <w:sz w:val="20"/>
                <w:szCs w:val="20"/>
              </w:rPr>
            </w:pPr>
            <w:r w:rsidRPr="000F0852">
              <w:rPr>
                <w:rFonts w:ascii="Times New Roman" w:hAnsi="Times New Roman"/>
                <w:color w:val="000000" w:themeColor="text1"/>
                <w:sz w:val="20"/>
                <w:szCs w:val="20"/>
              </w:rPr>
              <w:t>n = 19)</w:t>
            </w:r>
          </w:p>
        </w:tc>
      </w:tr>
      <w:tr w:rsidR="004F799F" w:rsidRPr="00B8512F" w14:paraId="00FB2CDA" w14:textId="77777777" w:rsidTr="00D11173">
        <w:trPr>
          <w:jc w:val="center"/>
        </w:trPr>
        <w:tc>
          <w:tcPr>
            <w:tcW w:w="994" w:type="dxa"/>
            <w:shd w:val="clear" w:color="auto" w:fill="E7E6E6" w:themeFill="background2"/>
            <w:vAlign w:val="center"/>
          </w:tcPr>
          <w:p w14:paraId="06ADEDF3" w14:textId="77777777" w:rsidR="004F799F" w:rsidRPr="00B8512F" w:rsidRDefault="004F799F" w:rsidP="00D11173">
            <w:pPr>
              <w:contextualSpacing/>
              <w:jc w:val="center"/>
              <w:rPr>
                <w:rFonts w:ascii="Times New Roman" w:hAnsi="Times New Roman"/>
                <w:b/>
                <w:sz w:val="20"/>
                <w:szCs w:val="20"/>
              </w:rPr>
            </w:pPr>
            <w:r w:rsidRPr="00B8512F">
              <w:rPr>
                <w:rFonts w:ascii="Times New Roman" w:hAnsi="Times New Roman"/>
                <w:b/>
                <w:sz w:val="20"/>
                <w:szCs w:val="20"/>
              </w:rPr>
              <w:t>Plešovice</w:t>
            </w:r>
          </w:p>
        </w:tc>
        <w:tc>
          <w:tcPr>
            <w:tcW w:w="1483" w:type="dxa"/>
          </w:tcPr>
          <w:p w14:paraId="598E44B1" w14:textId="77777777" w:rsidR="004F799F" w:rsidRPr="003C34DB" w:rsidRDefault="004F799F" w:rsidP="00D11173">
            <w:pPr>
              <w:contextualSpacing/>
              <w:jc w:val="center"/>
              <w:rPr>
                <w:rFonts w:ascii="Times New Roman" w:hAnsi="Times New Roman"/>
                <w:color w:val="000000" w:themeColor="text1"/>
                <w:sz w:val="20"/>
                <w:szCs w:val="20"/>
              </w:rPr>
            </w:pPr>
            <w:r w:rsidRPr="003C34DB">
              <w:rPr>
                <w:rFonts w:ascii="Times New Roman" w:hAnsi="Times New Roman"/>
                <w:color w:val="000000" w:themeColor="text1"/>
                <w:sz w:val="20"/>
                <w:szCs w:val="20"/>
              </w:rPr>
              <w:t>0.282482 ± 0.000013</w:t>
            </w:r>
          </w:p>
          <w:p w14:paraId="41EE0F3B" w14:textId="77777777" w:rsidR="004F799F" w:rsidRPr="003C34DB" w:rsidRDefault="004F799F" w:rsidP="00D11173">
            <w:pPr>
              <w:contextualSpacing/>
              <w:jc w:val="center"/>
              <w:rPr>
                <w:rFonts w:ascii="Times New Roman" w:hAnsi="Times New Roman"/>
                <w:color w:val="000000" w:themeColor="text1"/>
                <w:sz w:val="20"/>
                <w:szCs w:val="20"/>
              </w:rPr>
            </w:pPr>
            <w:r w:rsidRPr="003C34DB">
              <w:rPr>
                <w:color w:val="000000" w:themeColor="text1"/>
                <w:sz w:val="20"/>
              </w:rPr>
              <w:fldChar w:fldCharType="begin" w:fldLock="1"/>
            </w:r>
            <w:r w:rsidRPr="003C34DB">
              <w:rPr>
                <w:rFonts w:ascii="Times New Roman" w:hAnsi="Times New Roman"/>
                <w:color w:val="000000" w:themeColor="text1"/>
                <w:sz w:val="20"/>
                <w:szCs w:val="20"/>
              </w:rPr>
              <w:instrText>ADDIN CSL_CITATION {"citationItems":[{"id":"ITEM-1","itemData":{"DOI":"10.1016/j.chemgeo.2007.11.005","ISSN":"00092541","author":[{"dropping-particle":"","family":"Sláma","given":"Jiří","non-dropping-particle":"","parse-names":false,"suffix":""},{"dropping-particle":"","family":"Košler","given":"Jan","non-dropping-particle":"","parse-names":false,"suffix":""},{"dropping-particle":"","family":"Condon","given":"Daniel J.","non-dropping-particle":"","parse-names":false,"suffix":""},{"dropping-particle":"","family":"Crowley","given":"James L.","non-dropping-particle":"","parse-names":false,"suffix":""},{"dropping-particle":"","family":"Gerdes","given":"Axel","non-dropping-particle":"","parse-names":false,"suffix":""},{"dropping-particle":"","family":"Hanchar","given":"John M.","non-dropping-particle":"","parse-names":false,"suffix":""},{"dropping-particle":"","family":"Horstwood","given":"Matthew S.A.","non-dropping-particle":"","parse-names":false,"suffix":""},{"dropping-particle":"","family":"Morris","given":"George A.","non-dropping-particle":"","parse-names":false,"suffix":""},{"dropping-particle":"","family":"Nasdala","given":"Lutz","non-dropping-particle":"","parse-names":false,"suffix":""},{"dropping-particle":"","family":"Norberg","given":"Nicholas","non-dropping-particle":"","parse-names":false,"suffix":""},{"dropping-particle":"","family":"Schaltegger","given":"Urs","non-dropping-particle":"","parse-names":false,"suffix":""},{"dropping-particle":"","family":"Schoene","given":"Blair","non-dropping-particle":"","parse-names":false,"suffix":""},{"dropping-particle":"","family":"Tubrett","given":"Michael N.","non-dropping-particle":"","parse-names":false,"suffix":""},{"dropping-particle":"","family":"Whitehouse","given":"Martin J.","non-dropping-particle":"","parse-names":false,"suffix":""}],"container-title":"Chemical Geology","id":"ITEM-1","issue":"1-2","issued":{"date-parts":[["2008","3"]]},"page":"1-35","title":"Plešovice zircon — A new natural reference material for U–Pb and Hf isotopic microanalysis","type":"article-journal","volume":"249"},"uris":["http://www.mendeley.com/documents/?uuid=21c2d529-7842-47f9-b295-59b1944c3128"]}],"mendeley":{"formattedCitation":"(Sláma et al., 2008)","plainTextFormattedCitation":"(Sláma et al., 2008)","previouslyFormattedCitation":"(Sláma et al., 2008)"},"properties":{"noteIndex":0},"schema":"https://github.com/citation-style-language/schema/raw/master/csl-citation.json"}</w:instrText>
            </w:r>
            <w:r w:rsidRPr="003C34DB">
              <w:rPr>
                <w:color w:val="000000" w:themeColor="text1"/>
                <w:sz w:val="20"/>
              </w:rPr>
              <w:fldChar w:fldCharType="separate"/>
            </w:r>
            <w:r w:rsidRPr="003C34DB">
              <w:rPr>
                <w:rFonts w:ascii="Times New Roman" w:hAnsi="Times New Roman"/>
                <w:noProof/>
                <w:color w:val="000000" w:themeColor="text1"/>
                <w:sz w:val="20"/>
                <w:szCs w:val="20"/>
              </w:rPr>
              <w:t>(Sláma et al., 2008)</w:t>
            </w:r>
            <w:r w:rsidRPr="003C34DB">
              <w:rPr>
                <w:color w:val="000000" w:themeColor="text1"/>
                <w:sz w:val="20"/>
              </w:rPr>
              <w:fldChar w:fldCharType="end"/>
            </w:r>
          </w:p>
        </w:tc>
        <w:tc>
          <w:tcPr>
            <w:tcW w:w="1858" w:type="dxa"/>
          </w:tcPr>
          <w:p w14:paraId="64CB332E" w14:textId="77777777" w:rsidR="004F799F" w:rsidRPr="000F0852" w:rsidRDefault="004F799F" w:rsidP="00D11173">
            <w:pPr>
              <w:contextualSpacing/>
              <w:jc w:val="center"/>
              <w:rPr>
                <w:rFonts w:ascii="Times New Roman" w:hAnsi="Times New Roman"/>
                <w:color w:val="000000" w:themeColor="text1"/>
                <w:sz w:val="20"/>
                <w:szCs w:val="20"/>
              </w:rPr>
            </w:pPr>
            <w:r w:rsidRPr="000F0852">
              <w:rPr>
                <w:rFonts w:ascii="Times New Roman" w:hAnsi="Times New Roman"/>
                <w:color w:val="000000" w:themeColor="text1"/>
                <w:sz w:val="20"/>
                <w:szCs w:val="20"/>
              </w:rPr>
              <w:t xml:space="preserve">0.282485 ± 0.000009 </w:t>
            </w:r>
          </w:p>
          <w:p w14:paraId="6277695D" w14:textId="77777777" w:rsidR="004F799F" w:rsidRPr="000F0852" w:rsidRDefault="004F799F" w:rsidP="00D11173">
            <w:pPr>
              <w:contextualSpacing/>
              <w:jc w:val="center"/>
              <w:rPr>
                <w:rFonts w:ascii="Times New Roman" w:hAnsi="Times New Roman"/>
                <w:color w:val="000000" w:themeColor="text1"/>
                <w:sz w:val="20"/>
                <w:szCs w:val="20"/>
              </w:rPr>
            </w:pPr>
            <w:r w:rsidRPr="000F0852">
              <w:rPr>
                <w:rFonts w:ascii="Times New Roman" w:hAnsi="Times New Roman"/>
                <w:color w:val="000000" w:themeColor="text1"/>
                <w:sz w:val="20"/>
                <w:szCs w:val="20"/>
              </w:rPr>
              <w:t>(MSWD = 0.52,</w:t>
            </w:r>
          </w:p>
          <w:p w14:paraId="1A120614" w14:textId="77777777" w:rsidR="004F799F" w:rsidRPr="000F0852" w:rsidRDefault="004F799F" w:rsidP="00D11173">
            <w:pPr>
              <w:contextualSpacing/>
              <w:jc w:val="center"/>
              <w:rPr>
                <w:rFonts w:ascii="Times New Roman" w:hAnsi="Times New Roman"/>
                <w:color w:val="000000" w:themeColor="text1"/>
                <w:sz w:val="20"/>
                <w:szCs w:val="20"/>
              </w:rPr>
            </w:pPr>
            <w:r w:rsidRPr="000F0852">
              <w:rPr>
                <w:rFonts w:ascii="Times New Roman" w:hAnsi="Times New Roman"/>
                <w:color w:val="000000" w:themeColor="text1"/>
                <w:sz w:val="20"/>
                <w:szCs w:val="20"/>
              </w:rPr>
              <w:t>n = 10)</w:t>
            </w:r>
          </w:p>
        </w:tc>
        <w:tc>
          <w:tcPr>
            <w:tcW w:w="1834" w:type="dxa"/>
          </w:tcPr>
          <w:p w14:paraId="407FF951" w14:textId="4A80A7A1" w:rsidR="004F799F" w:rsidRPr="000F0852" w:rsidRDefault="004F799F" w:rsidP="00D11173">
            <w:pPr>
              <w:contextualSpacing/>
              <w:jc w:val="center"/>
              <w:rPr>
                <w:rFonts w:ascii="Times New Roman" w:hAnsi="Times New Roman"/>
                <w:color w:val="000000" w:themeColor="text1"/>
                <w:sz w:val="20"/>
                <w:szCs w:val="20"/>
              </w:rPr>
            </w:pPr>
            <w:r w:rsidRPr="000F0852">
              <w:rPr>
                <w:rFonts w:ascii="Times New Roman" w:hAnsi="Times New Roman"/>
                <w:color w:val="000000" w:themeColor="text1"/>
                <w:sz w:val="20"/>
                <w:szCs w:val="20"/>
              </w:rPr>
              <w:t>0.282473 ± 0.000006 (MSWD = 0.77,</w:t>
            </w:r>
          </w:p>
          <w:p w14:paraId="088C8048" w14:textId="77777777" w:rsidR="004F799F" w:rsidRPr="000F0852" w:rsidRDefault="004F799F" w:rsidP="00D11173">
            <w:pPr>
              <w:contextualSpacing/>
              <w:jc w:val="center"/>
              <w:rPr>
                <w:rFonts w:ascii="Times New Roman" w:hAnsi="Times New Roman"/>
                <w:color w:val="000000" w:themeColor="text1"/>
                <w:sz w:val="20"/>
                <w:szCs w:val="20"/>
              </w:rPr>
            </w:pPr>
            <w:r w:rsidRPr="000F0852">
              <w:rPr>
                <w:rFonts w:ascii="Times New Roman" w:hAnsi="Times New Roman"/>
                <w:color w:val="000000" w:themeColor="text1"/>
                <w:sz w:val="20"/>
                <w:szCs w:val="20"/>
              </w:rPr>
              <w:t>n = 8)</w:t>
            </w:r>
          </w:p>
        </w:tc>
        <w:tc>
          <w:tcPr>
            <w:tcW w:w="1994" w:type="dxa"/>
          </w:tcPr>
          <w:p w14:paraId="1121F432" w14:textId="77777777" w:rsidR="004F799F" w:rsidRPr="000F0852" w:rsidRDefault="004F799F" w:rsidP="00D11173">
            <w:pPr>
              <w:contextualSpacing/>
              <w:jc w:val="center"/>
              <w:rPr>
                <w:rFonts w:ascii="Times New Roman" w:hAnsi="Times New Roman"/>
                <w:color w:val="000000" w:themeColor="text1"/>
                <w:sz w:val="20"/>
                <w:szCs w:val="20"/>
              </w:rPr>
            </w:pPr>
            <w:r w:rsidRPr="000F0852">
              <w:rPr>
                <w:rFonts w:ascii="Times New Roman" w:hAnsi="Times New Roman"/>
                <w:color w:val="000000" w:themeColor="text1"/>
                <w:sz w:val="20"/>
                <w:szCs w:val="20"/>
              </w:rPr>
              <w:t>0.282477 ± 0.000006 (MSWD = 0.55,</w:t>
            </w:r>
          </w:p>
          <w:p w14:paraId="5EA1D1D1" w14:textId="77777777" w:rsidR="004F799F" w:rsidRPr="000F0852" w:rsidRDefault="004F799F" w:rsidP="00D11173">
            <w:pPr>
              <w:contextualSpacing/>
              <w:jc w:val="center"/>
              <w:rPr>
                <w:rFonts w:ascii="Times New Roman" w:hAnsi="Times New Roman"/>
                <w:color w:val="000000" w:themeColor="text1"/>
                <w:sz w:val="20"/>
                <w:szCs w:val="20"/>
              </w:rPr>
            </w:pPr>
            <w:r w:rsidRPr="000F0852">
              <w:rPr>
                <w:rFonts w:ascii="Times New Roman" w:hAnsi="Times New Roman"/>
                <w:color w:val="000000" w:themeColor="text1"/>
                <w:sz w:val="20"/>
                <w:szCs w:val="20"/>
              </w:rPr>
              <w:t>n = 9)</w:t>
            </w:r>
          </w:p>
        </w:tc>
      </w:tr>
      <w:tr w:rsidR="004F799F" w:rsidRPr="00B8512F" w14:paraId="3A12DA83" w14:textId="77777777" w:rsidTr="00D11173">
        <w:trPr>
          <w:jc w:val="center"/>
        </w:trPr>
        <w:tc>
          <w:tcPr>
            <w:tcW w:w="994" w:type="dxa"/>
            <w:shd w:val="clear" w:color="auto" w:fill="E7E6E6" w:themeFill="background2"/>
            <w:vAlign w:val="center"/>
          </w:tcPr>
          <w:p w14:paraId="3EF44637" w14:textId="77777777" w:rsidR="004F799F" w:rsidRPr="00B8512F" w:rsidRDefault="004F799F" w:rsidP="00D11173">
            <w:pPr>
              <w:contextualSpacing/>
              <w:jc w:val="center"/>
              <w:rPr>
                <w:rFonts w:ascii="Times New Roman" w:hAnsi="Times New Roman"/>
                <w:b/>
                <w:sz w:val="20"/>
                <w:szCs w:val="20"/>
              </w:rPr>
            </w:pPr>
            <w:r w:rsidRPr="00B8512F">
              <w:rPr>
                <w:rFonts w:ascii="Times New Roman" w:hAnsi="Times New Roman"/>
                <w:b/>
                <w:sz w:val="20"/>
                <w:szCs w:val="20"/>
              </w:rPr>
              <w:t>91500</w:t>
            </w:r>
          </w:p>
        </w:tc>
        <w:tc>
          <w:tcPr>
            <w:tcW w:w="1483" w:type="dxa"/>
          </w:tcPr>
          <w:p w14:paraId="3C368D77" w14:textId="77777777" w:rsidR="004F799F" w:rsidRPr="003C34DB" w:rsidRDefault="004F799F" w:rsidP="00D11173">
            <w:pPr>
              <w:contextualSpacing/>
              <w:jc w:val="center"/>
              <w:rPr>
                <w:rFonts w:ascii="Times New Roman" w:hAnsi="Times New Roman"/>
                <w:color w:val="000000" w:themeColor="text1"/>
                <w:sz w:val="20"/>
                <w:szCs w:val="20"/>
              </w:rPr>
            </w:pPr>
            <w:r w:rsidRPr="003C34DB">
              <w:rPr>
                <w:rFonts w:ascii="Times New Roman" w:hAnsi="Times New Roman"/>
                <w:color w:val="000000" w:themeColor="text1"/>
                <w:sz w:val="20"/>
                <w:szCs w:val="20"/>
              </w:rPr>
              <w:t>0.282306 ± 0.000311</w:t>
            </w:r>
          </w:p>
          <w:p w14:paraId="13DDD93D" w14:textId="77777777" w:rsidR="004F799F" w:rsidRPr="003C34DB" w:rsidRDefault="004F799F" w:rsidP="00D11173">
            <w:pPr>
              <w:contextualSpacing/>
              <w:jc w:val="center"/>
              <w:rPr>
                <w:rFonts w:ascii="Times New Roman" w:hAnsi="Times New Roman"/>
                <w:color w:val="000000" w:themeColor="text1"/>
                <w:sz w:val="20"/>
                <w:szCs w:val="20"/>
              </w:rPr>
            </w:pPr>
            <w:r w:rsidRPr="003C34DB">
              <w:rPr>
                <w:rFonts w:ascii="Times New Roman" w:hAnsi="Times New Roman"/>
                <w:color w:val="000000" w:themeColor="text1"/>
                <w:sz w:val="20"/>
                <w:szCs w:val="20"/>
              </w:rPr>
              <w:t>(</w:t>
            </w:r>
            <w:r w:rsidRPr="003C34DB">
              <w:rPr>
                <w:color w:val="000000" w:themeColor="text1"/>
                <w:sz w:val="20"/>
              </w:rPr>
              <w:fldChar w:fldCharType="begin" w:fldLock="1"/>
            </w:r>
            <w:r w:rsidRPr="003C34DB">
              <w:rPr>
                <w:rFonts w:ascii="Times New Roman" w:hAnsi="Times New Roman"/>
                <w:color w:val="000000" w:themeColor="text1"/>
                <w:sz w:val="20"/>
                <w:szCs w:val="20"/>
              </w:rPr>
              <w:instrText>ADDIN CSL_CITATION {"citationItems":[{"id":"ITEM-1","itemData":{"DOI":"10.1016/j.chemgeo.2004.04.026","ISSN":"00092541","author":[{"dropping-particle":"","family":"Woodhead","given":"J.","non-dropping-particle":"","parse-names":false,"suffix":""},{"dropping-particle":"","family":"Hergt","given":"J.","non-dropping-particle":"","parse-names":false,"suffix":""},{"dropping-particle":"","family":"Shelley","given":"M.","non-dropping-particle":"","parse-names":false,"suffix":""},{"dropping-particle":"","family":"Eggins","given":"S.","non-dropping-particle":"","parse-names":false,"suffix":""},{"dropping-particle":"","family":"Kemp","given":"R.","non-dropping-particle":"","parse-names":false,"suffix":""}],"container-title":"Chemical Geology","id":"ITEM-1","issue":"1-2","issued":{"date-parts":[["2004","9"]]},"page":"121-135","title":"Zircon Hf-isotope analysis with an excimer laser, depth profiling, ablation of complex geometries, and concomitant age estimation","type":"article-journal","volume":"209"},"uris":["http://www.mendeley.com/documents/?uuid=6fc5af76-941a-41b1-956f-1a984b9b01fc"]}],"mendeley":{"formattedCitation":"(Woodhead et al., 2004)","manualFormatting":"Woodhead et al., 2004)","plainTextFormattedCitation":"(Woodhead et al., 2004)","previouslyFormattedCitation":"(Woodhead et al., 2004)"},"properties":{"noteIndex":0},"schema":"https://github.com/citation-style-language/schema/raw/master/csl-citation.json"}</w:instrText>
            </w:r>
            <w:r w:rsidRPr="003C34DB">
              <w:rPr>
                <w:color w:val="000000" w:themeColor="text1"/>
                <w:sz w:val="20"/>
              </w:rPr>
              <w:fldChar w:fldCharType="separate"/>
            </w:r>
            <w:r w:rsidRPr="003C34DB">
              <w:rPr>
                <w:rFonts w:ascii="Times New Roman" w:hAnsi="Times New Roman"/>
                <w:noProof/>
                <w:color w:val="000000" w:themeColor="text1"/>
                <w:sz w:val="20"/>
                <w:szCs w:val="20"/>
              </w:rPr>
              <w:t>Woodhead et al., 2004)</w:t>
            </w:r>
            <w:r w:rsidRPr="003C34DB">
              <w:rPr>
                <w:color w:val="000000" w:themeColor="text1"/>
                <w:sz w:val="20"/>
              </w:rPr>
              <w:fldChar w:fldCharType="end"/>
            </w:r>
          </w:p>
        </w:tc>
        <w:tc>
          <w:tcPr>
            <w:tcW w:w="1858" w:type="dxa"/>
          </w:tcPr>
          <w:p w14:paraId="40E3A5D1" w14:textId="77777777" w:rsidR="004F799F" w:rsidRPr="000F0852" w:rsidRDefault="004F799F" w:rsidP="00D11173">
            <w:pPr>
              <w:contextualSpacing/>
              <w:jc w:val="center"/>
              <w:rPr>
                <w:rFonts w:ascii="Times New Roman" w:hAnsi="Times New Roman"/>
                <w:color w:val="000000" w:themeColor="text1"/>
                <w:sz w:val="20"/>
                <w:szCs w:val="20"/>
              </w:rPr>
            </w:pPr>
            <w:r w:rsidRPr="000F0852">
              <w:rPr>
                <w:rFonts w:ascii="Times New Roman" w:hAnsi="Times New Roman"/>
                <w:color w:val="000000" w:themeColor="text1"/>
                <w:sz w:val="20"/>
                <w:szCs w:val="20"/>
              </w:rPr>
              <w:t xml:space="preserve">0.282300 ± 0.000009 </w:t>
            </w:r>
          </w:p>
          <w:p w14:paraId="785D26A7" w14:textId="77777777" w:rsidR="004F799F" w:rsidRPr="000F0852" w:rsidRDefault="004F799F" w:rsidP="00D11173">
            <w:pPr>
              <w:contextualSpacing/>
              <w:jc w:val="center"/>
              <w:rPr>
                <w:rFonts w:ascii="Times New Roman" w:hAnsi="Times New Roman"/>
                <w:color w:val="000000" w:themeColor="text1"/>
                <w:sz w:val="20"/>
                <w:szCs w:val="20"/>
              </w:rPr>
            </w:pPr>
            <w:r w:rsidRPr="000F0852">
              <w:rPr>
                <w:rFonts w:ascii="Times New Roman" w:hAnsi="Times New Roman"/>
                <w:color w:val="000000" w:themeColor="text1"/>
                <w:sz w:val="20"/>
                <w:szCs w:val="20"/>
              </w:rPr>
              <w:t>(MSWD = 0.18,</w:t>
            </w:r>
          </w:p>
          <w:p w14:paraId="28A0CBCE" w14:textId="77777777" w:rsidR="004F799F" w:rsidRPr="000F0852" w:rsidRDefault="004F799F" w:rsidP="00D11173">
            <w:pPr>
              <w:contextualSpacing/>
              <w:jc w:val="center"/>
              <w:rPr>
                <w:rFonts w:ascii="Times New Roman" w:hAnsi="Times New Roman"/>
                <w:color w:val="000000" w:themeColor="text1"/>
                <w:sz w:val="20"/>
                <w:szCs w:val="20"/>
              </w:rPr>
            </w:pPr>
            <w:r w:rsidRPr="000F0852">
              <w:rPr>
                <w:rFonts w:ascii="Times New Roman" w:hAnsi="Times New Roman"/>
                <w:color w:val="000000" w:themeColor="text1"/>
                <w:sz w:val="20"/>
                <w:szCs w:val="20"/>
              </w:rPr>
              <w:t>n = 15)</w:t>
            </w:r>
          </w:p>
        </w:tc>
        <w:tc>
          <w:tcPr>
            <w:tcW w:w="1834" w:type="dxa"/>
          </w:tcPr>
          <w:p w14:paraId="3BB7707C" w14:textId="64AF8DCB" w:rsidR="004F799F" w:rsidRPr="000F0852" w:rsidRDefault="004F799F" w:rsidP="00D11173">
            <w:pPr>
              <w:contextualSpacing/>
              <w:jc w:val="center"/>
              <w:rPr>
                <w:rFonts w:ascii="Times New Roman" w:hAnsi="Times New Roman"/>
                <w:color w:val="000000" w:themeColor="text1"/>
                <w:sz w:val="20"/>
                <w:szCs w:val="20"/>
              </w:rPr>
            </w:pPr>
            <w:r w:rsidRPr="000F0852">
              <w:rPr>
                <w:rFonts w:ascii="Times New Roman" w:hAnsi="Times New Roman"/>
                <w:color w:val="000000" w:themeColor="text1"/>
                <w:sz w:val="20"/>
                <w:szCs w:val="20"/>
              </w:rPr>
              <w:t>0.282303 ± 0.000006 (MSWD = 1.03,</w:t>
            </w:r>
          </w:p>
          <w:p w14:paraId="076305F0" w14:textId="77777777" w:rsidR="004F799F" w:rsidRPr="000F0852" w:rsidRDefault="004F799F" w:rsidP="00D11173">
            <w:pPr>
              <w:contextualSpacing/>
              <w:jc w:val="center"/>
              <w:rPr>
                <w:rFonts w:ascii="Times New Roman" w:hAnsi="Times New Roman"/>
                <w:color w:val="000000" w:themeColor="text1"/>
                <w:sz w:val="20"/>
                <w:szCs w:val="20"/>
              </w:rPr>
            </w:pPr>
            <w:r w:rsidRPr="000F0852">
              <w:rPr>
                <w:rFonts w:ascii="Times New Roman" w:hAnsi="Times New Roman"/>
                <w:color w:val="000000" w:themeColor="text1"/>
                <w:sz w:val="20"/>
                <w:szCs w:val="20"/>
              </w:rPr>
              <w:t>n = 18)</w:t>
            </w:r>
          </w:p>
        </w:tc>
        <w:tc>
          <w:tcPr>
            <w:tcW w:w="1994" w:type="dxa"/>
          </w:tcPr>
          <w:p w14:paraId="7CE78733" w14:textId="77777777" w:rsidR="004F799F" w:rsidRPr="000F0852" w:rsidRDefault="004F799F" w:rsidP="00D11173">
            <w:pPr>
              <w:contextualSpacing/>
              <w:jc w:val="center"/>
              <w:rPr>
                <w:rFonts w:ascii="Times New Roman" w:hAnsi="Times New Roman"/>
                <w:color w:val="000000" w:themeColor="text1"/>
                <w:sz w:val="20"/>
                <w:szCs w:val="20"/>
              </w:rPr>
            </w:pPr>
            <w:r w:rsidRPr="000F0852">
              <w:rPr>
                <w:rFonts w:ascii="Times New Roman" w:hAnsi="Times New Roman"/>
                <w:color w:val="000000" w:themeColor="text1"/>
                <w:sz w:val="20"/>
                <w:szCs w:val="20"/>
              </w:rPr>
              <w:t>0.282306 ± 0.000005 (MSWD = 0.59,</w:t>
            </w:r>
          </w:p>
          <w:p w14:paraId="593AA683" w14:textId="77777777" w:rsidR="004F799F" w:rsidRPr="000F0852" w:rsidRDefault="004F799F" w:rsidP="00D11173">
            <w:pPr>
              <w:contextualSpacing/>
              <w:jc w:val="center"/>
              <w:rPr>
                <w:rFonts w:ascii="Times New Roman" w:hAnsi="Times New Roman"/>
                <w:color w:val="000000" w:themeColor="text1"/>
                <w:sz w:val="20"/>
                <w:szCs w:val="20"/>
              </w:rPr>
            </w:pPr>
            <w:r w:rsidRPr="000F0852">
              <w:rPr>
                <w:rFonts w:ascii="Times New Roman" w:hAnsi="Times New Roman"/>
                <w:color w:val="000000" w:themeColor="text1"/>
                <w:sz w:val="20"/>
                <w:szCs w:val="20"/>
              </w:rPr>
              <w:t>n = 19)</w:t>
            </w:r>
          </w:p>
        </w:tc>
      </w:tr>
    </w:tbl>
    <w:p w14:paraId="2F198DB1" w14:textId="77777777" w:rsidR="00CD4302" w:rsidRDefault="00CD4302" w:rsidP="004F799F">
      <w:pPr>
        <w:spacing w:line="360" w:lineRule="auto"/>
        <w:rPr>
          <w:szCs w:val="24"/>
        </w:rPr>
      </w:pPr>
    </w:p>
    <w:p w14:paraId="7313394F" w14:textId="70E01FAB" w:rsidR="004F799F" w:rsidRDefault="004F799F" w:rsidP="00162A36">
      <w:pPr>
        <w:spacing w:line="360" w:lineRule="auto"/>
        <w:ind w:firstLine="720"/>
        <w:rPr>
          <w:szCs w:val="24"/>
        </w:rPr>
      </w:pPr>
      <w:r>
        <w:rPr>
          <w:szCs w:val="24"/>
        </w:rPr>
        <w:lastRenderedPageBreak/>
        <w:t>Ages were simultaneously measured on the aerosol split using</w:t>
      </w:r>
      <w:r w:rsidRPr="00865301">
        <w:rPr>
          <w:szCs w:val="24"/>
        </w:rPr>
        <w:t xml:space="preserve"> </w:t>
      </w:r>
      <w:r>
        <w:rPr>
          <w:szCs w:val="24"/>
        </w:rPr>
        <w:t>LA-</w:t>
      </w:r>
      <w:r w:rsidRPr="00865301">
        <w:rPr>
          <w:szCs w:val="24"/>
        </w:rPr>
        <w:t>Q-ICP-MS analysis</w:t>
      </w:r>
      <w:r>
        <w:rPr>
          <w:szCs w:val="24"/>
        </w:rPr>
        <w:t xml:space="preserve"> and</w:t>
      </w:r>
      <w:r w:rsidRPr="00865301">
        <w:rPr>
          <w:szCs w:val="24"/>
        </w:rPr>
        <w:t xml:space="preserve"> the</w:t>
      </w:r>
      <w:r>
        <w:rPr>
          <w:szCs w:val="24"/>
        </w:rPr>
        <w:t xml:space="preserve"> following isotopes</w:t>
      </w:r>
      <w:r w:rsidRPr="00865301">
        <w:rPr>
          <w:szCs w:val="24"/>
        </w:rPr>
        <w:t xml:space="preserve"> </w:t>
      </w:r>
      <w:r w:rsidRPr="00C075DD">
        <w:rPr>
          <w:szCs w:val="24"/>
        </w:rPr>
        <w:t xml:space="preserve">were monitored for </w:t>
      </w:r>
      <w:r w:rsidRPr="00ED07F3">
        <w:rPr>
          <w:szCs w:val="24"/>
        </w:rPr>
        <w:t>0.0</w:t>
      </w:r>
      <w:r>
        <w:rPr>
          <w:szCs w:val="24"/>
        </w:rPr>
        <w:t>2</w:t>
      </w:r>
      <w:r w:rsidRPr="00ED07F3">
        <w:rPr>
          <w:szCs w:val="24"/>
        </w:rPr>
        <w:t xml:space="preserve"> s each: </w:t>
      </w:r>
      <w:r w:rsidRPr="00ED07F3">
        <w:rPr>
          <w:szCs w:val="24"/>
          <w:vertAlign w:val="superscript"/>
        </w:rPr>
        <w:t>202</w:t>
      </w:r>
      <w:r w:rsidRPr="00ED07F3">
        <w:rPr>
          <w:szCs w:val="24"/>
        </w:rPr>
        <w:t xml:space="preserve">Hg, </w:t>
      </w:r>
      <w:r w:rsidRPr="00ED07F3">
        <w:rPr>
          <w:szCs w:val="24"/>
          <w:vertAlign w:val="superscript"/>
        </w:rPr>
        <w:t>204</w:t>
      </w:r>
      <w:r w:rsidRPr="00ED07F3">
        <w:rPr>
          <w:szCs w:val="24"/>
        </w:rPr>
        <w:t xml:space="preserve">Pb, </w:t>
      </w:r>
      <w:r w:rsidRPr="00ED07F3">
        <w:rPr>
          <w:szCs w:val="24"/>
          <w:vertAlign w:val="superscript"/>
        </w:rPr>
        <w:t>206</w:t>
      </w:r>
      <w:r w:rsidRPr="00ED07F3">
        <w:rPr>
          <w:szCs w:val="24"/>
        </w:rPr>
        <w:t xml:space="preserve">Pb, </w:t>
      </w:r>
      <w:r w:rsidRPr="00ED07F3">
        <w:rPr>
          <w:szCs w:val="24"/>
          <w:vertAlign w:val="superscript"/>
        </w:rPr>
        <w:t>207</w:t>
      </w:r>
      <w:r w:rsidRPr="00ED07F3">
        <w:rPr>
          <w:szCs w:val="24"/>
        </w:rPr>
        <w:t xml:space="preserve">Pb, </w:t>
      </w:r>
      <w:r w:rsidRPr="00ED07F3">
        <w:rPr>
          <w:szCs w:val="24"/>
          <w:vertAlign w:val="superscript"/>
        </w:rPr>
        <w:t>208</w:t>
      </w:r>
      <w:r w:rsidRPr="00ED07F3">
        <w:rPr>
          <w:szCs w:val="24"/>
        </w:rPr>
        <w:t xml:space="preserve">Pb, </w:t>
      </w:r>
      <w:r w:rsidRPr="00ED07F3">
        <w:rPr>
          <w:szCs w:val="24"/>
          <w:vertAlign w:val="superscript"/>
        </w:rPr>
        <w:t>232</w:t>
      </w:r>
      <w:r w:rsidRPr="00ED07F3">
        <w:rPr>
          <w:szCs w:val="24"/>
        </w:rPr>
        <w:t xml:space="preserve">Th, and </w:t>
      </w:r>
      <w:r w:rsidRPr="00ED07F3">
        <w:rPr>
          <w:szCs w:val="24"/>
          <w:vertAlign w:val="superscript"/>
        </w:rPr>
        <w:t>238</w:t>
      </w:r>
      <w:r w:rsidRPr="00ED07F3">
        <w:rPr>
          <w:szCs w:val="24"/>
        </w:rPr>
        <w:t>U.</w:t>
      </w:r>
      <w:r w:rsidRPr="00C075DD">
        <w:rPr>
          <w:szCs w:val="24"/>
        </w:rPr>
        <w:t xml:space="preserve"> </w:t>
      </w:r>
      <w:r w:rsidRPr="00865301">
        <w:rPr>
          <w:szCs w:val="24"/>
        </w:rPr>
        <w:t>The primary dating reference material</w:t>
      </w:r>
      <w:r>
        <w:rPr>
          <w:szCs w:val="24"/>
        </w:rPr>
        <w:t>s</w:t>
      </w:r>
      <w:r w:rsidRPr="00865301">
        <w:rPr>
          <w:szCs w:val="24"/>
        </w:rPr>
        <w:t xml:space="preserve"> used in this study were </w:t>
      </w:r>
      <w:r w:rsidRPr="00ED07F3">
        <w:rPr>
          <w:szCs w:val="24"/>
        </w:rPr>
        <w:t>91500 (1062.4±0.4 Ma; Wiedenbeck et al., 1995) and</w:t>
      </w:r>
      <w:r>
        <w:rPr>
          <w:szCs w:val="24"/>
        </w:rPr>
        <w:t>/or</w:t>
      </w:r>
      <w:r w:rsidRPr="00ED07F3">
        <w:rPr>
          <w:szCs w:val="24"/>
        </w:rPr>
        <w:t xml:space="preserve"> OG1 (3465.4±0.6; Stern et al., 2009) with Plešovice (337.13±0.37 Ma; Sláma et al., 2008) and</w:t>
      </w:r>
      <w:r>
        <w:rPr>
          <w:szCs w:val="24"/>
        </w:rPr>
        <w:t>/or</w:t>
      </w:r>
      <w:r w:rsidRPr="00ED07F3">
        <w:rPr>
          <w:szCs w:val="24"/>
        </w:rPr>
        <w:t xml:space="preserve"> GJ-1 (608.53±0.37; Jackson et al., 2004) analysed as secondary age standards.</w:t>
      </w:r>
      <w:r w:rsidRPr="00865301">
        <w:rPr>
          <w:szCs w:val="24"/>
        </w:rPr>
        <w:t xml:space="preserve"> </w:t>
      </w:r>
      <w:r w:rsidRPr="00865301">
        <w:rPr>
          <w:szCs w:val="24"/>
          <w:vertAlign w:val="superscript"/>
        </w:rPr>
        <w:t>206</w:t>
      </w:r>
      <w:r w:rsidRPr="00865301">
        <w:rPr>
          <w:szCs w:val="24"/>
        </w:rPr>
        <w:t>Pb/</w:t>
      </w:r>
      <w:r w:rsidRPr="00865301">
        <w:rPr>
          <w:szCs w:val="24"/>
          <w:vertAlign w:val="superscript"/>
        </w:rPr>
        <w:t>238</w:t>
      </w:r>
      <w:r w:rsidRPr="00865301">
        <w:rPr>
          <w:szCs w:val="24"/>
        </w:rPr>
        <w:t xml:space="preserve">U ages and </w:t>
      </w:r>
      <w:r w:rsidRPr="00865301">
        <w:rPr>
          <w:szCs w:val="24"/>
          <w:vertAlign w:val="superscript"/>
        </w:rPr>
        <w:t>207</w:t>
      </w:r>
      <w:r w:rsidRPr="00865301">
        <w:rPr>
          <w:szCs w:val="24"/>
        </w:rPr>
        <w:t>Pb/</w:t>
      </w:r>
      <w:r w:rsidRPr="00865301">
        <w:rPr>
          <w:szCs w:val="24"/>
          <w:vertAlign w:val="superscript"/>
        </w:rPr>
        <w:t>206</w:t>
      </w:r>
      <w:r w:rsidRPr="00865301">
        <w:rPr>
          <w:szCs w:val="24"/>
        </w:rPr>
        <w:t xml:space="preserve">Pb calculated for zircon age standards, treated as unknowns, were found to be within </w:t>
      </w:r>
      <w:r>
        <w:rPr>
          <w:szCs w:val="24"/>
        </w:rPr>
        <w:t xml:space="preserve">uncertainty </w:t>
      </w:r>
      <w:r w:rsidRPr="00865301">
        <w:rPr>
          <w:szCs w:val="24"/>
        </w:rPr>
        <w:t>of the accepted value</w:t>
      </w:r>
      <w:r w:rsidR="00F962F4">
        <w:rPr>
          <w:szCs w:val="24"/>
        </w:rPr>
        <w:t xml:space="preserve"> (Table S4</w:t>
      </w:r>
      <w:r>
        <w:rPr>
          <w:szCs w:val="24"/>
        </w:rPr>
        <w:t>)</w:t>
      </w:r>
      <w:r w:rsidRPr="00865301">
        <w:rPr>
          <w:szCs w:val="24"/>
        </w:rPr>
        <w:t>. The time-resolved mass spectra were reduced using the U_Pb_Geochronology4 data reduction scheme in Iolite 3.5 (Paton et al, 2011 and references therein).</w:t>
      </w:r>
    </w:p>
    <w:p w14:paraId="612BCB0C" w14:textId="18C32ECD" w:rsidR="00D51173" w:rsidRDefault="00D51173" w:rsidP="00162A36">
      <w:pPr>
        <w:spacing w:line="360" w:lineRule="auto"/>
        <w:ind w:firstLine="720"/>
        <w:rPr>
          <w:szCs w:val="24"/>
        </w:rPr>
      </w:pPr>
    </w:p>
    <w:p w14:paraId="34B5E205" w14:textId="1B500B69" w:rsidR="004F799F" w:rsidRDefault="004F799F" w:rsidP="00AA5D33">
      <w:pPr>
        <w:rPr>
          <w:szCs w:val="24"/>
        </w:rPr>
      </w:pPr>
      <w:r w:rsidRPr="00F962F4">
        <w:rPr>
          <w:b/>
          <w:szCs w:val="24"/>
        </w:rPr>
        <w:t>Table S</w:t>
      </w:r>
      <w:r w:rsidR="00F962F4">
        <w:rPr>
          <w:b/>
          <w:szCs w:val="24"/>
        </w:rPr>
        <w:t>4</w:t>
      </w:r>
      <w:r w:rsidR="00F962F4">
        <w:rPr>
          <w:szCs w:val="24"/>
        </w:rPr>
        <w:t>:</w:t>
      </w:r>
      <w:r>
        <w:rPr>
          <w:szCs w:val="24"/>
        </w:rPr>
        <w:t xml:space="preserve"> Recommended ages for zircon reference materials and weighted mean standard corrected ages obtained in each analytical session.</w:t>
      </w:r>
    </w:p>
    <w:tbl>
      <w:tblPr>
        <w:tblStyle w:val="TableGrid"/>
        <w:tblW w:w="4587" w:type="pct"/>
        <w:jc w:val="center"/>
        <w:tblLook w:val="04A0" w:firstRow="1" w:lastRow="0" w:firstColumn="1" w:lastColumn="0" w:noHBand="0" w:noVBand="1"/>
      </w:tblPr>
      <w:tblGrid>
        <w:gridCol w:w="1013"/>
        <w:gridCol w:w="1726"/>
        <w:gridCol w:w="1726"/>
        <w:gridCol w:w="1726"/>
        <w:gridCol w:w="1726"/>
      </w:tblGrid>
      <w:tr w:rsidR="004F799F" w14:paraId="7826B602" w14:textId="77777777" w:rsidTr="00D11173">
        <w:trPr>
          <w:jc w:val="center"/>
        </w:trPr>
        <w:tc>
          <w:tcPr>
            <w:tcW w:w="640" w:type="pct"/>
            <w:shd w:val="clear" w:color="auto" w:fill="E7E6E6" w:themeFill="background2"/>
            <w:vAlign w:val="center"/>
          </w:tcPr>
          <w:p w14:paraId="40ACB5AE" w14:textId="77777777" w:rsidR="004F799F" w:rsidRPr="007A0AA7" w:rsidRDefault="004F799F" w:rsidP="00D11173">
            <w:pPr>
              <w:jc w:val="center"/>
              <w:rPr>
                <w:rFonts w:ascii="Times New Roman" w:hAnsi="Times New Roman"/>
                <w:b/>
                <w:bCs/>
                <w:sz w:val="20"/>
                <w:szCs w:val="20"/>
              </w:rPr>
            </w:pPr>
            <w:r w:rsidRPr="007A0AA7">
              <w:rPr>
                <w:rFonts w:ascii="Times New Roman" w:hAnsi="Times New Roman"/>
                <w:b/>
                <w:sz w:val="20"/>
                <w:szCs w:val="20"/>
              </w:rPr>
              <w:t>Zircon standard</w:t>
            </w:r>
          </w:p>
        </w:tc>
        <w:tc>
          <w:tcPr>
            <w:tcW w:w="1090" w:type="pct"/>
            <w:shd w:val="clear" w:color="auto" w:fill="E7E6E6" w:themeFill="background2"/>
          </w:tcPr>
          <w:p w14:paraId="3CC2A236" w14:textId="77777777" w:rsidR="004F799F" w:rsidRPr="007A0AA7" w:rsidRDefault="004F799F" w:rsidP="00D11173">
            <w:pPr>
              <w:jc w:val="center"/>
              <w:rPr>
                <w:rFonts w:ascii="Times New Roman" w:hAnsi="Times New Roman"/>
                <w:b/>
                <w:bCs/>
                <w:sz w:val="20"/>
                <w:szCs w:val="20"/>
              </w:rPr>
            </w:pPr>
            <w:r>
              <w:rPr>
                <w:rFonts w:ascii="Times New Roman" w:hAnsi="Times New Roman"/>
                <w:b/>
                <w:bCs/>
                <w:sz w:val="20"/>
                <w:szCs w:val="20"/>
              </w:rPr>
              <w:t>Recommended age (Ma)</w:t>
            </w:r>
          </w:p>
        </w:tc>
        <w:tc>
          <w:tcPr>
            <w:tcW w:w="1090" w:type="pct"/>
            <w:shd w:val="clear" w:color="auto" w:fill="E7E6E6" w:themeFill="background2"/>
          </w:tcPr>
          <w:p w14:paraId="11D5CED5" w14:textId="77777777" w:rsidR="004F799F" w:rsidRPr="007A0AA7" w:rsidRDefault="004F799F" w:rsidP="00D11173">
            <w:pPr>
              <w:jc w:val="center"/>
              <w:rPr>
                <w:rFonts w:ascii="Times New Roman" w:hAnsi="Times New Roman"/>
                <w:sz w:val="20"/>
                <w:szCs w:val="20"/>
              </w:rPr>
            </w:pPr>
            <w:r>
              <w:rPr>
                <w:rFonts w:ascii="Times New Roman" w:hAnsi="Times New Roman"/>
                <w:b/>
                <w:bCs/>
                <w:sz w:val="20"/>
                <w:szCs w:val="20"/>
              </w:rPr>
              <w:t>1st</w:t>
            </w:r>
            <w:r w:rsidRPr="007A0AA7">
              <w:rPr>
                <w:rFonts w:ascii="Times New Roman" w:hAnsi="Times New Roman"/>
                <w:b/>
                <w:bCs/>
                <w:sz w:val="20"/>
                <w:szCs w:val="20"/>
              </w:rPr>
              <w:t xml:space="preserve"> session (</w:t>
            </w:r>
            <w:r>
              <w:rPr>
                <w:rFonts w:ascii="Times New Roman" w:hAnsi="Times New Roman"/>
                <w:b/>
                <w:bCs/>
                <w:sz w:val="20"/>
                <w:szCs w:val="20"/>
              </w:rPr>
              <w:t>03</w:t>
            </w:r>
            <w:r w:rsidRPr="007A0AA7">
              <w:rPr>
                <w:rFonts w:ascii="Times New Roman" w:hAnsi="Times New Roman"/>
                <w:b/>
                <w:bCs/>
                <w:sz w:val="20"/>
                <w:szCs w:val="20"/>
              </w:rPr>
              <w:t>/</w:t>
            </w:r>
            <w:r>
              <w:rPr>
                <w:rFonts w:ascii="Times New Roman" w:hAnsi="Times New Roman"/>
                <w:b/>
                <w:bCs/>
                <w:sz w:val="20"/>
                <w:szCs w:val="20"/>
              </w:rPr>
              <w:t>12</w:t>
            </w:r>
            <w:r w:rsidRPr="007A0AA7">
              <w:rPr>
                <w:rFonts w:ascii="Times New Roman" w:hAnsi="Times New Roman"/>
                <w:b/>
                <w:bCs/>
                <w:sz w:val="20"/>
                <w:szCs w:val="20"/>
              </w:rPr>
              <w:t>/201</w:t>
            </w:r>
            <w:r>
              <w:rPr>
                <w:rFonts w:ascii="Times New Roman" w:hAnsi="Times New Roman"/>
                <w:b/>
                <w:bCs/>
                <w:sz w:val="20"/>
                <w:szCs w:val="20"/>
              </w:rPr>
              <w:t>8</w:t>
            </w:r>
            <w:r w:rsidRPr="007A0AA7">
              <w:rPr>
                <w:rFonts w:ascii="Times New Roman" w:hAnsi="Times New Roman"/>
                <w:b/>
                <w:bCs/>
                <w:sz w:val="20"/>
                <w:szCs w:val="20"/>
              </w:rPr>
              <w:t>)</w:t>
            </w:r>
          </w:p>
        </w:tc>
        <w:tc>
          <w:tcPr>
            <w:tcW w:w="1090" w:type="pct"/>
            <w:shd w:val="clear" w:color="auto" w:fill="E7E6E6" w:themeFill="background2"/>
          </w:tcPr>
          <w:p w14:paraId="526C735B" w14:textId="77777777" w:rsidR="004F799F" w:rsidRPr="007A0AA7" w:rsidRDefault="004F799F" w:rsidP="00D11173">
            <w:pPr>
              <w:jc w:val="center"/>
              <w:rPr>
                <w:rFonts w:ascii="Times New Roman" w:hAnsi="Times New Roman"/>
                <w:sz w:val="20"/>
                <w:szCs w:val="20"/>
              </w:rPr>
            </w:pPr>
            <w:r>
              <w:rPr>
                <w:rFonts w:ascii="Times New Roman" w:hAnsi="Times New Roman"/>
                <w:b/>
                <w:bCs/>
                <w:sz w:val="20"/>
                <w:szCs w:val="20"/>
              </w:rPr>
              <w:t>2nd</w:t>
            </w:r>
            <w:r w:rsidRPr="007A0AA7">
              <w:rPr>
                <w:rFonts w:ascii="Times New Roman" w:hAnsi="Times New Roman"/>
                <w:b/>
                <w:bCs/>
                <w:sz w:val="20"/>
                <w:szCs w:val="20"/>
              </w:rPr>
              <w:t xml:space="preserve"> session (</w:t>
            </w:r>
            <w:r>
              <w:rPr>
                <w:rFonts w:ascii="Times New Roman" w:hAnsi="Times New Roman"/>
                <w:b/>
                <w:bCs/>
                <w:sz w:val="20"/>
                <w:szCs w:val="20"/>
              </w:rPr>
              <w:t>9</w:t>
            </w:r>
            <w:r w:rsidRPr="007A0AA7">
              <w:rPr>
                <w:rFonts w:ascii="Times New Roman" w:hAnsi="Times New Roman"/>
                <w:b/>
                <w:bCs/>
                <w:sz w:val="20"/>
                <w:szCs w:val="20"/>
              </w:rPr>
              <w:t>/0</w:t>
            </w:r>
            <w:r>
              <w:rPr>
                <w:rFonts w:ascii="Times New Roman" w:hAnsi="Times New Roman"/>
                <w:b/>
                <w:bCs/>
                <w:sz w:val="20"/>
                <w:szCs w:val="20"/>
              </w:rPr>
              <w:t>5</w:t>
            </w:r>
            <w:r w:rsidRPr="007A0AA7">
              <w:rPr>
                <w:rFonts w:ascii="Times New Roman" w:hAnsi="Times New Roman"/>
                <w:b/>
                <w:bCs/>
                <w:sz w:val="20"/>
                <w:szCs w:val="20"/>
              </w:rPr>
              <w:t>/2019)</w:t>
            </w:r>
          </w:p>
        </w:tc>
        <w:tc>
          <w:tcPr>
            <w:tcW w:w="1090" w:type="pct"/>
            <w:shd w:val="clear" w:color="auto" w:fill="E7E6E6" w:themeFill="background2"/>
          </w:tcPr>
          <w:p w14:paraId="259249D2" w14:textId="77777777" w:rsidR="004F799F" w:rsidRPr="007A0AA7" w:rsidRDefault="004F799F" w:rsidP="00D11173">
            <w:pPr>
              <w:jc w:val="center"/>
              <w:rPr>
                <w:rFonts w:ascii="Times New Roman" w:hAnsi="Times New Roman"/>
                <w:sz w:val="20"/>
                <w:szCs w:val="20"/>
              </w:rPr>
            </w:pPr>
            <w:r>
              <w:rPr>
                <w:rFonts w:ascii="Times New Roman" w:hAnsi="Times New Roman"/>
                <w:b/>
                <w:bCs/>
                <w:sz w:val="20"/>
                <w:szCs w:val="20"/>
              </w:rPr>
              <w:t>3rd</w:t>
            </w:r>
            <w:r w:rsidRPr="007A0AA7">
              <w:rPr>
                <w:rFonts w:ascii="Times New Roman" w:hAnsi="Times New Roman"/>
                <w:b/>
                <w:bCs/>
                <w:sz w:val="20"/>
                <w:szCs w:val="20"/>
              </w:rPr>
              <w:t xml:space="preserve"> session (</w:t>
            </w:r>
            <w:r>
              <w:rPr>
                <w:rFonts w:ascii="Times New Roman" w:hAnsi="Times New Roman"/>
                <w:b/>
                <w:bCs/>
                <w:sz w:val="20"/>
                <w:szCs w:val="20"/>
              </w:rPr>
              <w:t>7</w:t>
            </w:r>
            <w:r w:rsidRPr="007A0AA7">
              <w:rPr>
                <w:rFonts w:ascii="Times New Roman" w:hAnsi="Times New Roman"/>
                <w:b/>
                <w:bCs/>
                <w:sz w:val="20"/>
                <w:szCs w:val="20"/>
              </w:rPr>
              <w:t>/03/20</w:t>
            </w:r>
            <w:r>
              <w:rPr>
                <w:rFonts w:ascii="Times New Roman" w:hAnsi="Times New Roman"/>
                <w:b/>
                <w:bCs/>
                <w:sz w:val="20"/>
                <w:szCs w:val="20"/>
              </w:rPr>
              <w:t>20</w:t>
            </w:r>
            <w:r w:rsidRPr="007A0AA7">
              <w:rPr>
                <w:rFonts w:ascii="Times New Roman" w:hAnsi="Times New Roman"/>
                <w:b/>
                <w:bCs/>
                <w:sz w:val="20"/>
                <w:szCs w:val="20"/>
              </w:rPr>
              <w:t>)</w:t>
            </w:r>
          </w:p>
        </w:tc>
      </w:tr>
      <w:tr w:rsidR="004F799F" w14:paraId="10560D71" w14:textId="77777777" w:rsidTr="00D11173">
        <w:trPr>
          <w:jc w:val="center"/>
        </w:trPr>
        <w:tc>
          <w:tcPr>
            <w:tcW w:w="640" w:type="pct"/>
            <w:shd w:val="clear" w:color="auto" w:fill="E7E6E6" w:themeFill="background2"/>
            <w:vAlign w:val="center"/>
          </w:tcPr>
          <w:p w14:paraId="002157D4" w14:textId="77777777" w:rsidR="004F799F" w:rsidRPr="007A0AA7" w:rsidRDefault="004F799F" w:rsidP="00D11173">
            <w:pPr>
              <w:jc w:val="center"/>
              <w:rPr>
                <w:rFonts w:ascii="Times New Roman" w:hAnsi="Times New Roman"/>
                <w:sz w:val="20"/>
                <w:szCs w:val="20"/>
              </w:rPr>
            </w:pPr>
            <w:r w:rsidRPr="00515BA6">
              <w:rPr>
                <w:rFonts w:ascii="Times New Roman" w:hAnsi="Times New Roman"/>
                <w:b/>
                <w:bCs/>
                <w:sz w:val="20"/>
                <w:szCs w:val="20"/>
              </w:rPr>
              <w:t>GJ-1</w:t>
            </w:r>
          </w:p>
        </w:tc>
        <w:tc>
          <w:tcPr>
            <w:tcW w:w="1090" w:type="pct"/>
          </w:tcPr>
          <w:p w14:paraId="1A32FF1D" w14:textId="77777777" w:rsidR="004F799F" w:rsidRDefault="004F799F" w:rsidP="00D11173">
            <w:pPr>
              <w:contextualSpacing/>
              <w:jc w:val="center"/>
              <w:rPr>
                <w:rFonts w:ascii="Times New Roman" w:hAnsi="Times New Roman"/>
                <w:noProof/>
                <w:sz w:val="20"/>
                <w:szCs w:val="20"/>
                <w:lang w:val="fr-FR"/>
              </w:rPr>
            </w:pPr>
            <w:r w:rsidRPr="007A0AA7">
              <w:rPr>
                <w:rFonts w:ascii="Times New Roman" w:hAnsi="Times New Roman"/>
                <w:noProof/>
                <w:sz w:val="20"/>
                <w:szCs w:val="20"/>
                <w:lang w:val="fr-FR"/>
              </w:rPr>
              <w:t xml:space="preserve">608.5 ± 1.5 Ma </w:t>
            </w:r>
          </w:p>
          <w:p w14:paraId="3171BDA0" w14:textId="77777777" w:rsidR="004F799F" w:rsidRPr="007A0AA7" w:rsidRDefault="004F799F" w:rsidP="00D11173">
            <w:pPr>
              <w:contextualSpacing/>
              <w:jc w:val="center"/>
              <w:rPr>
                <w:rFonts w:ascii="Times New Roman" w:hAnsi="Times New Roman"/>
                <w:noProof/>
                <w:sz w:val="20"/>
                <w:szCs w:val="20"/>
                <w:lang w:val="fr-FR"/>
              </w:rPr>
            </w:pPr>
            <w:r w:rsidRPr="007A0AA7">
              <w:rPr>
                <w:rFonts w:ascii="Times New Roman" w:hAnsi="Times New Roman"/>
                <w:noProof/>
                <w:sz w:val="20"/>
                <w:szCs w:val="20"/>
                <w:lang w:val="fr-FR"/>
              </w:rPr>
              <w:t>(Jackson et al., 2004)</w:t>
            </w:r>
          </w:p>
          <w:p w14:paraId="73846CE8" w14:textId="77777777" w:rsidR="004F799F" w:rsidRPr="007A0AA7" w:rsidRDefault="004F799F" w:rsidP="00D11173">
            <w:pPr>
              <w:contextualSpacing/>
              <w:jc w:val="center"/>
              <w:rPr>
                <w:rFonts w:ascii="Times New Roman" w:hAnsi="Times New Roman"/>
                <w:noProof/>
                <w:sz w:val="20"/>
                <w:szCs w:val="20"/>
                <w:lang w:val="fr-FR"/>
              </w:rPr>
            </w:pPr>
            <w:r w:rsidRPr="007A0AA7">
              <w:rPr>
                <w:rFonts w:ascii="Times New Roman" w:hAnsi="Times New Roman"/>
                <w:noProof/>
                <w:sz w:val="20"/>
                <w:szCs w:val="20"/>
                <w:lang w:val="fr-FR"/>
              </w:rPr>
              <w:t>601.5± 0.40 Ma</w:t>
            </w:r>
          </w:p>
          <w:p w14:paraId="3A530521" w14:textId="77777777" w:rsidR="004F799F" w:rsidRPr="007A0AA7" w:rsidRDefault="004F799F" w:rsidP="00D11173">
            <w:pPr>
              <w:jc w:val="center"/>
              <w:rPr>
                <w:rFonts w:ascii="Times New Roman" w:hAnsi="Times New Roman"/>
                <w:sz w:val="20"/>
                <w:szCs w:val="20"/>
              </w:rPr>
            </w:pPr>
            <w:r w:rsidRPr="007A0AA7">
              <w:rPr>
                <w:rFonts w:ascii="Times New Roman" w:hAnsi="Times New Roman"/>
                <w:noProof/>
                <w:sz w:val="20"/>
                <w:szCs w:val="20"/>
                <w:lang w:val="fr-FR"/>
              </w:rPr>
              <w:t>(Horstwood et al., 2016)</w:t>
            </w:r>
          </w:p>
        </w:tc>
        <w:tc>
          <w:tcPr>
            <w:tcW w:w="1090" w:type="pct"/>
            <w:vAlign w:val="center"/>
          </w:tcPr>
          <w:p w14:paraId="1DF89EC7" w14:textId="77777777" w:rsidR="004F799F" w:rsidRPr="00366414" w:rsidRDefault="004F799F" w:rsidP="00D11173">
            <w:pPr>
              <w:jc w:val="center"/>
              <w:rPr>
                <w:rFonts w:ascii="Times New Roman" w:hAnsi="Times New Roman"/>
                <w:color w:val="000000" w:themeColor="text1"/>
                <w:sz w:val="20"/>
                <w:szCs w:val="20"/>
              </w:rPr>
            </w:pPr>
            <w:r w:rsidRPr="00366414">
              <w:rPr>
                <w:rFonts w:ascii="Times New Roman" w:hAnsi="Times New Roman"/>
                <w:color w:val="000000" w:themeColor="text1"/>
                <w:sz w:val="20"/>
                <w:szCs w:val="20"/>
              </w:rPr>
              <w:t xml:space="preserve">603.6 ± 0.88 Ma </w:t>
            </w:r>
          </w:p>
          <w:p w14:paraId="65EFFF53" w14:textId="77777777" w:rsidR="004F799F" w:rsidRPr="00366414" w:rsidRDefault="004F799F" w:rsidP="00D11173">
            <w:pPr>
              <w:jc w:val="center"/>
              <w:rPr>
                <w:rFonts w:ascii="Times New Roman" w:hAnsi="Times New Roman"/>
                <w:color w:val="000000" w:themeColor="text1"/>
                <w:sz w:val="20"/>
                <w:szCs w:val="20"/>
              </w:rPr>
            </w:pPr>
            <w:r w:rsidRPr="00366414">
              <w:rPr>
                <w:rFonts w:ascii="Times New Roman" w:hAnsi="Times New Roman"/>
                <w:color w:val="000000" w:themeColor="text1"/>
                <w:sz w:val="20"/>
                <w:szCs w:val="20"/>
              </w:rPr>
              <w:t xml:space="preserve">(MSWD = 0.83, </w:t>
            </w:r>
          </w:p>
          <w:p w14:paraId="4322F47C" w14:textId="77777777" w:rsidR="004F799F" w:rsidRPr="00366414" w:rsidRDefault="004F799F" w:rsidP="00D11173">
            <w:pPr>
              <w:jc w:val="center"/>
              <w:rPr>
                <w:rFonts w:ascii="Times New Roman" w:hAnsi="Times New Roman"/>
                <w:color w:val="000000" w:themeColor="text1"/>
                <w:sz w:val="20"/>
                <w:szCs w:val="20"/>
              </w:rPr>
            </w:pPr>
            <w:r w:rsidRPr="00366414">
              <w:rPr>
                <w:rFonts w:ascii="Times New Roman" w:hAnsi="Times New Roman"/>
                <w:color w:val="000000" w:themeColor="text1"/>
                <w:sz w:val="20"/>
                <w:szCs w:val="20"/>
              </w:rPr>
              <w:t>n = 20)</w:t>
            </w:r>
          </w:p>
        </w:tc>
        <w:tc>
          <w:tcPr>
            <w:tcW w:w="1090" w:type="pct"/>
            <w:vAlign w:val="center"/>
          </w:tcPr>
          <w:p w14:paraId="2F0A1104" w14:textId="77777777" w:rsidR="004F799F" w:rsidRPr="00366414" w:rsidRDefault="004F799F" w:rsidP="00D11173">
            <w:pPr>
              <w:jc w:val="center"/>
              <w:rPr>
                <w:rFonts w:ascii="Times New Roman" w:hAnsi="Times New Roman"/>
                <w:color w:val="000000" w:themeColor="text1"/>
                <w:sz w:val="20"/>
                <w:szCs w:val="20"/>
              </w:rPr>
            </w:pPr>
            <w:r w:rsidRPr="00366414">
              <w:rPr>
                <w:rFonts w:ascii="Times New Roman" w:hAnsi="Times New Roman"/>
                <w:color w:val="000000" w:themeColor="text1"/>
                <w:sz w:val="20"/>
                <w:szCs w:val="20"/>
              </w:rPr>
              <w:t xml:space="preserve">608.3± 1.4 Ma </w:t>
            </w:r>
          </w:p>
          <w:p w14:paraId="303B835F" w14:textId="77777777" w:rsidR="004F799F" w:rsidRPr="00366414" w:rsidRDefault="004F799F" w:rsidP="00D11173">
            <w:pPr>
              <w:jc w:val="center"/>
              <w:rPr>
                <w:rFonts w:ascii="Times New Roman" w:hAnsi="Times New Roman"/>
                <w:color w:val="000000" w:themeColor="text1"/>
                <w:sz w:val="20"/>
                <w:szCs w:val="20"/>
              </w:rPr>
            </w:pPr>
            <w:r w:rsidRPr="00366414">
              <w:rPr>
                <w:rFonts w:ascii="Times New Roman" w:hAnsi="Times New Roman"/>
                <w:color w:val="000000" w:themeColor="text1"/>
                <w:sz w:val="20"/>
                <w:szCs w:val="20"/>
              </w:rPr>
              <w:t xml:space="preserve">(MSWD = 5.0, </w:t>
            </w:r>
          </w:p>
          <w:p w14:paraId="762BA0D6" w14:textId="77777777" w:rsidR="004F799F" w:rsidRPr="00366414" w:rsidRDefault="004F799F" w:rsidP="00D11173">
            <w:pPr>
              <w:jc w:val="center"/>
              <w:rPr>
                <w:rFonts w:ascii="Times New Roman" w:hAnsi="Times New Roman"/>
                <w:color w:val="000000" w:themeColor="text1"/>
                <w:sz w:val="20"/>
                <w:szCs w:val="20"/>
              </w:rPr>
            </w:pPr>
            <w:r w:rsidRPr="00366414">
              <w:rPr>
                <w:rFonts w:ascii="Times New Roman" w:hAnsi="Times New Roman"/>
                <w:color w:val="000000" w:themeColor="text1"/>
                <w:sz w:val="20"/>
                <w:szCs w:val="20"/>
              </w:rPr>
              <w:t>n = 17)</w:t>
            </w:r>
          </w:p>
        </w:tc>
        <w:tc>
          <w:tcPr>
            <w:tcW w:w="1090" w:type="pct"/>
            <w:vAlign w:val="center"/>
          </w:tcPr>
          <w:p w14:paraId="02C61CF8" w14:textId="77777777" w:rsidR="004F799F" w:rsidRPr="00366414" w:rsidRDefault="004F799F" w:rsidP="00D11173">
            <w:pPr>
              <w:jc w:val="center"/>
              <w:rPr>
                <w:rFonts w:ascii="Times New Roman" w:hAnsi="Times New Roman"/>
                <w:color w:val="000000" w:themeColor="text1"/>
                <w:sz w:val="20"/>
                <w:szCs w:val="20"/>
              </w:rPr>
            </w:pPr>
            <w:r w:rsidRPr="00366414">
              <w:rPr>
                <w:rFonts w:ascii="Times New Roman" w:hAnsi="Times New Roman"/>
                <w:color w:val="000000" w:themeColor="text1"/>
                <w:sz w:val="20"/>
                <w:szCs w:val="20"/>
              </w:rPr>
              <w:t xml:space="preserve">602.2 ± 0.84 Ma </w:t>
            </w:r>
          </w:p>
          <w:p w14:paraId="055206E0" w14:textId="77777777" w:rsidR="004F799F" w:rsidRPr="00366414" w:rsidRDefault="004F799F" w:rsidP="00D11173">
            <w:pPr>
              <w:jc w:val="center"/>
              <w:rPr>
                <w:rFonts w:ascii="Times New Roman" w:hAnsi="Times New Roman"/>
                <w:color w:val="000000" w:themeColor="text1"/>
                <w:sz w:val="20"/>
                <w:szCs w:val="20"/>
              </w:rPr>
            </w:pPr>
            <w:r w:rsidRPr="00366414">
              <w:rPr>
                <w:rFonts w:ascii="Times New Roman" w:hAnsi="Times New Roman"/>
                <w:color w:val="000000" w:themeColor="text1"/>
                <w:sz w:val="20"/>
                <w:szCs w:val="20"/>
              </w:rPr>
              <w:t xml:space="preserve">(MSWD = 1.38, </w:t>
            </w:r>
          </w:p>
          <w:p w14:paraId="36DE7C5F" w14:textId="77777777" w:rsidR="004F799F" w:rsidRPr="00366414" w:rsidRDefault="004F799F" w:rsidP="00D11173">
            <w:pPr>
              <w:jc w:val="center"/>
              <w:rPr>
                <w:rFonts w:ascii="Times New Roman" w:hAnsi="Times New Roman"/>
                <w:color w:val="000000" w:themeColor="text1"/>
                <w:sz w:val="20"/>
                <w:szCs w:val="20"/>
              </w:rPr>
            </w:pPr>
            <w:r w:rsidRPr="00366414">
              <w:rPr>
                <w:rFonts w:ascii="Times New Roman" w:hAnsi="Times New Roman"/>
                <w:color w:val="000000" w:themeColor="text1"/>
                <w:sz w:val="20"/>
                <w:szCs w:val="20"/>
              </w:rPr>
              <w:t>n = 19)</w:t>
            </w:r>
          </w:p>
        </w:tc>
      </w:tr>
      <w:tr w:rsidR="004F799F" w14:paraId="2586C835" w14:textId="77777777" w:rsidTr="00D11173">
        <w:trPr>
          <w:jc w:val="center"/>
        </w:trPr>
        <w:tc>
          <w:tcPr>
            <w:tcW w:w="640" w:type="pct"/>
            <w:shd w:val="clear" w:color="auto" w:fill="E7E6E6" w:themeFill="background2"/>
            <w:vAlign w:val="center"/>
          </w:tcPr>
          <w:p w14:paraId="504E5070" w14:textId="77777777" w:rsidR="004F799F" w:rsidRPr="007A0AA7" w:rsidRDefault="004F799F" w:rsidP="00D11173">
            <w:pPr>
              <w:jc w:val="center"/>
              <w:rPr>
                <w:rFonts w:ascii="Times New Roman" w:hAnsi="Times New Roman"/>
                <w:sz w:val="20"/>
                <w:szCs w:val="20"/>
              </w:rPr>
            </w:pPr>
            <w:r w:rsidRPr="00515BA6">
              <w:rPr>
                <w:rFonts w:ascii="Times New Roman" w:hAnsi="Times New Roman"/>
                <w:b/>
                <w:sz w:val="20"/>
                <w:szCs w:val="20"/>
                <w:lang w:val="es-ES"/>
              </w:rPr>
              <w:t>Plešovice</w:t>
            </w:r>
          </w:p>
        </w:tc>
        <w:tc>
          <w:tcPr>
            <w:tcW w:w="1090" w:type="pct"/>
          </w:tcPr>
          <w:p w14:paraId="6770AEDA" w14:textId="77777777" w:rsidR="004F799F" w:rsidRPr="00515BA6" w:rsidRDefault="004F799F" w:rsidP="00D11173">
            <w:pPr>
              <w:contextualSpacing/>
              <w:jc w:val="center"/>
              <w:rPr>
                <w:rFonts w:ascii="Times New Roman" w:hAnsi="Times New Roman"/>
                <w:sz w:val="20"/>
                <w:szCs w:val="20"/>
                <w:lang w:val="es-ES"/>
              </w:rPr>
            </w:pPr>
            <w:r w:rsidRPr="00515BA6">
              <w:rPr>
                <w:rFonts w:ascii="Times New Roman" w:hAnsi="Times New Roman"/>
                <w:sz w:val="20"/>
                <w:szCs w:val="20"/>
                <w:lang w:val="es-ES"/>
              </w:rPr>
              <w:t>337.13 ± 0.37 Ma</w:t>
            </w:r>
          </w:p>
          <w:p w14:paraId="68F0DD0D" w14:textId="77777777" w:rsidR="004F799F" w:rsidRPr="007A0AA7" w:rsidRDefault="004F799F" w:rsidP="00D11173">
            <w:pPr>
              <w:jc w:val="center"/>
              <w:rPr>
                <w:rFonts w:ascii="Times New Roman" w:hAnsi="Times New Roman"/>
                <w:sz w:val="20"/>
                <w:szCs w:val="20"/>
              </w:rPr>
            </w:pPr>
            <w:r w:rsidRPr="00515BA6">
              <w:rPr>
                <w:rFonts w:ascii="Times New Roman" w:hAnsi="Times New Roman"/>
                <w:noProof/>
                <w:sz w:val="20"/>
                <w:szCs w:val="20"/>
                <w:lang w:val="es-ES"/>
              </w:rPr>
              <w:t>(Sláma et al., 2008)</w:t>
            </w:r>
          </w:p>
        </w:tc>
        <w:tc>
          <w:tcPr>
            <w:tcW w:w="1090" w:type="pct"/>
            <w:vAlign w:val="center"/>
          </w:tcPr>
          <w:p w14:paraId="7B5D1F39" w14:textId="77777777" w:rsidR="004F799F" w:rsidRPr="00366414" w:rsidRDefault="004F799F" w:rsidP="00D11173">
            <w:pPr>
              <w:jc w:val="center"/>
              <w:rPr>
                <w:rFonts w:ascii="Times New Roman" w:hAnsi="Times New Roman"/>
                <w:color w:val="000000" w:themeColor="text1"/>
                <w:sz w:val="20"/>
                <w:szCs w:val="20"/>
              </w:rPr>
            </w:pPr>
            <w:r w:rsidRPr="00366414">
              <w:rPr>
                <w:rFonts w:ascii="Times New Roman" w:hAnsi="Times New Roman"/>
                <w:color w:val="000000" w:themeColor="text1"/>
                <w:sz w:val="20"/>
                <w:szCs w:val="20"/>
              </w:rPr>
              <w:t xml:space="preserve">338.4 ± 0.7 Ma </w:t>
            </w:r>
          </w:p>
          <w:p w14:paraId="3E83D64D" w14:textId="77777777" w:rsidR="004F799F" w:rsidRPr="00366414" w:rsidRDefault="004F799F" w:rsidP="00D11173">
            <w:pPr>
              <w:jc w:val="center"/>
              <w:rPr>
                <w:rFonts w:ascii="Times New Roman" w:hAnsi="Times New Roman"/>
                <w:color w:val="000000" w:themeColor="text1"/>
                <w:sz w:val="20"/>
                <w:szCs w:val="20"/>
              </w:rPr>
            </w:pPr>
            <w:r w:rsidRPr="00366414">
              <w:rPr>
                <w:rFonts w:ascii="Times New Roman" w:hAnsi="Times New Roman"/>
                <w:color w:val="000000" w:themeColor="text1"/>
                <w:sz w:val="20"/>
                <w:szCs w:val="20"/>
              </w:rPr>
              <w:t xml:space="preserve">(MSWD = 2.0, </w:t>
            </w:r>
          </w:p>
          <w:p w14:paraId="62C126E8" w14:textId="77777777" w:rsidR="004F799F" w:rsidRPr="00366414" w:rsidRDefault="004F799F" w:rsidP="00D11173">
            <w:pPr>
              <w:jc w:val="center"/>
              <w:rPr>
                <w:rFonts w:ascii="Times New Roman" w:hAnsi="Times New Roman"/>
                <w:color w:val="000000" w:themeColor="text1"/>
                <w:sz w:val="20"/>
                <w:szCs w:val="20"/>
              </w:rPr>
            </w:pPr>
            <w:r w:rsidRPr="00366414">
              <w:rPr>
                <w:rFonts w:ascii="Times New Roman" w:hAnsi="Times New Roman"/>
                <w:color w:val="000000" w:themeColor="text1"/>
                <w:sz w:val="20"/>
                <w:szCs w:val="20"/>
              </w:rPr>
              <w:t>n = 9)</w:t>
            </w:r>
          </w:p>
        </w:tc>
        <w:tc>
          <w:tcPr>
            <w:tcW w:w="1090" w:type="pct"/>
            <w:vAlign w:val="center"/>
          </w:tcPr>
          <w:p w14:paraId="26FE7171" w14:textId="77777777" w:rsidR="004F799F" w:rsidRPr="00366414" w:rsidRDefault="004F799F" w:rsidP="00D11173">
            <w:pPr>
              <w:jc w:val="center"/>
              <w:rPr>
                <w:rFonts w:ascii="Times New Roman" w:hAnsi="Times New Roman"/>
                <w:color w:val="000000" w:themeColor="text1"/>
                <w:sz w:val="20"/>
                <w:szCs w:val="20"/>
              </w:rPr>
            </w:pPr>
            <w:r w:rsidRPr="00366414">
              <w:rPr>
                <w:rFonts w:ascii="Times New Roman" w:hAnsi="Times New Roman"/>
                <w:color w:val="000000" w:themeColor="text1"/>
                <w:sz w:val="20"/>
                <w:szCs w:val="20"/>
              </w:rPr>
              <w:t>-</w:t>
            </w:r>
          </w:p>
        </w:tc>
        <w:tc>
          <w:tcPr>
            <w:tcW w:w="1090" w:type="pct"/>
            <w:vAlign w:val="center"/>
          </w:tcPr>
          <w:p w14:paraId="0A52C9C1" w14:textId="77777777" w:rsidR="004F799F" w:rsidRPr="00366414" w:rsidRDefault="004F799F" w:rsidP="00D11173">
            <w:pPr>
              <w:jc w:val="center"/>
              <w:rPr>
                <w:rFonts w:ascii="Times New Roman" w:hAnsi="Times New Roman"/>
                <w:color w:val="000000" w:themeColor="text1"/>
                <w:sz w:val="20"/>
                <w:szCs w:val="20"/>
              </w:rPr>
            </w:pPr>
            <w:r w:rsidRPr="00366414">
              <w:rPr>
                <w:rFonts w:ascii="Times New Roman" w:hAnsi="Times New Roman"/>
                <w:color w:val="000000" w:themeColor="text1"/>
                <w:sz w:val="20"/>
                <w:szCs w:val="20"/>
              </w:rPr>
              <w:t xml:space="preserve">339.5 ± 1.79 Ma </w:t>
            </w:r>
          </w:p>
          <w:p w14:paraId="2512B274" w14:textId="77777777" w:rsidR="004F799F" w:rsidRPr="00366414" w:rsidRDefault="004F799F" w:rsidP="00D11173">
            <w:pPr>
              <w:jc w:val="center"/>
              <w:rPr>
                <w:rFonts w:ascii="Times New Roman" w:hAnsi="Times New Roman"/>
                <w:color w:val="000000" w:themeColor="text1"/>
                <w:sz w:val="20"/>
                <w:szCs w:val="20"/>
              </w:rPr>
            </w:pPr>
            <w:r w:rsidRPr="00366414">
              <w:rPr>
                <w:rFonts w:ascii="Times New Roman" w:hAnsi="Times New Roman"/>
                <w:color w:val="000000" w:themeColor="text1"/>
                <w:sz w:val="20"/>
                <w:szCs w:val="20"/>
              </w:rPr>
              <w:t xml:space="preserve">(MSWD = 4.5, </w:t>
            </w:r>
          </w:p>
          <w:p w14:paraId="5954CE9A" w14:textId="77777777" w:rsidR="004F799F" w:rsidRPr="00366414" w:rsidRDefault="004F799F" w:rsidP="00D11173">
            <w:pPr>
              <w:jc w:val="center"/>
              <w:rPr>
                <w:rFonts w:ascii="Times New Roman" w:hAnsi="Times New Roman"/>
                <w:color w:val="000000" w:themeColor="text1"/>
                <w:sz w:val="20"/>
                <w:szCs w:val="20"/>
              </w:rPr>
            </w:pPr>
            <w:r w:rsidRPr="00366414">
              <w:rPr>
                <w:rFonts w:ascii="Times New Roman" w:hAnsi="Times New Roman"/>
                <w:color w:val="000000" w:themeColor="text1"/>
                <w:sz w:val="20"/>
                <w:szCs w:val="20"/>
              </w:rPr>
              <w:t>n = 7)</w:t>
            </w:r>
          </w:p>
        </w:tc>
      </w:tr>
      <w:tr w:rsidR="004F799F" w14:paraId="7714BFB1" w14:textId="77777777" w:rsidTr="00D11173">
        <w:trPr>
          <w:jc w:val="center"/>
        </w:trPr>
        <w:tc>
          <w:tcPr>
            <w:tcW w:w="640" w:type="pct"/>
            <w:shd w:val="clear" w:color="auto" w:fill="E7E6E6" w:themeFill="background2"/>
            <w:vAlign w:val="center"/>
          </w:tcPr>
          <w:p w14:paraId="3EBB6010" w14:textId="77777777" w:rsidR="004F799F" w:rsidRPr="007A0AA7" w:rsidRDefault="004F799F" w:rsidP="00D11173">
            <w:pPr>
              <w:jc w:val="center"/>
              <w:rPr>
                <w:rFonts w:ascii="Times New Roman" w:hAnsi="Times New Roman"/>
                <w:sz w:val="20"/>
                <w:szCs w:val="20"/>
              </w:rPr>
            </w:pPr>
            <w:r w:rsidRPr="00515BA6">
              <w:rPr>
                <w:rFonts w:ascii="Times New Roman" w:hAnsi="Times New Roman"/>
                <w:b/>
                <w:bCs/>
                <w:sz w:val="20"/>
                <w:szCs w:val="20"/>
              </w:rPr>
              <w:t>91500</w:t>
            </w:r>
          </w:p>
        </w:tc>
        <w:tc>
          <w:tcPr>
            <w:tcW w:w="1090" w:type="pct"/>
          </w:tcPr>
          <w:p w14:paraId="3561123E" w14:textId="77777777" w:rsidR="004F799F" w:rsidRPr="00515BA6" w:rsidRDefault="004F799F" w:rsidP="00D11173">
            <w:pPr>
              <w:contextualSpacing/>
              <w:jc w:val="center"/>
              <w:rPr>
                <w:rFonts w:ascii="Times New Roman" w:hAnsi="Times New Roman"/>
                <w:sz w:val="20"/>
                <w:szCs w:val="20"/>
              </w:rPr>
            </w:pPr>
            <w:r w:rsidRPr="00515BA6">
              <w:rPr>
                <w:rFonts w:ascii="Times New Roman" w:hAnsi="Times New Roman"/>
                <w:sz w:val="20"/>
                <w:szCs w:val="20"/>
              </w:rPr>
              <w:t>1062.4 ± 0.4 Ma</w:t>
            </w:r>
          </w:p>
          <w:p w14:paraId="6805927D" w14:textId="77777777" w:rsidR="004F799F" w:rsidRPr="007A0AA7" w:rsidRDefault="004F799F" w:rsidP="00D11173">
            <w:pPr>
              <w:jc w:val="center"/>
              <w:rPr>
                <w:rFonts w:ascii="Times New Roman" w:hAnsi="Times New Roman"/>
                <w:sz w:val="20"/>
                <w:szCs w:val="20"/>
              </w:rPr>
            </w:pPr>
            <w:r w:rsidRPr="00515BA6">
              <w:rPr>
                <w:rFonts w:ascii="Times New Roman" w:hAnsi="Times New Roman"/>
                <w:noProof/>
                <w:sz w:val="20"/>
                <w:szCs w:val="20"/>
              </w:rPr>
              <w:t>(Wiedenbeck et al., 1995)</w:t>
            </w:r>
          </w:p>
        </w:tc>
        <w:tc>
          <w:tcPr>
            <w:tcW w:w="1090" w:type="pct"/>
            <w:vAlign w:val="center"/>
          </w:tcPr>
          <w:p w14:paraId="38D1A791" w14:textId="77777777" w:rsidR="004F799F" w:rsidRPr="00366414" w:rsidRDefault="004F799F" w:rsidP="00D11173">
            <w:pPr>
              <w:jc w:val="center"/>
              <w:rPr>
                <w:rFonts w:ascii="Times New Roman" w:hAnsi="Times New Roman"/>
                <w:color w:val="000000" w:themeColor="text1"/>
                <w:sz w:val="20"/>
                <w:szCs w:val="20"/>
              </w:rPr>
            </w:pPr>
            <w:r w:rsidRPr="00366414">
              <w:rPr>
                <w:rFonts w:ascii="Times New Roman" w:hAnsi="Times New Roman"/>
                <w:color w:val="000000" w:themeColor="text1"/>
                <w:sz w:val="20"/>
                <w:szCs w:val="20"/>
              </w:rPr>
              <w:t>1062.0 ± 2.6 Ma</w:t>
            </w:r>
          </w:p>
          <w:p w14:paraId="5E163D91" w14:textId="77777777" w:rsidR="004F799F" w:rsidRPr="00366414" w:rsidRDefault="004F799F" w:rsidP="00D11173">
            <w:pPr>
              <w:jc w:val="center"/>
              <w:rPr>
                <w:rFonts w:ascii="Times New Roman" w:hAnsi="Times New Roman"/>
                <w:color w:val="000000" w:themeColor="text1"/>
                <w:sz w:val="20"/>
                <w:szCs w:val="20"/>
              </w:rPr>
            </w:pPr>
            <w:r w:rsidRPr="00366414">
              <w:rPr>
                <w:rFonts w:ascii="Times New Roman" w:hAnsi="Times New Roman"/>
                <w:color w:val="000000" w:themeColor="text1"/>
                <w:sz w:val="20"/>
                <w:szCs w:val="20"/>
              </w:rPr>
              <w:t xml:space="preserve">(MSWD = 0.54, </w:t>
            </w:r>
          </w:p>
          <w:p w14:paraId="1644BFFE" w14:textId="77777777" w:rsidR="004F799F" w:rsidRPr="00366414" w:rsidRDefault="004F799F" w:rsidP="00D11173">
            <w:pPr>
              <w:jc w:val="center"/>
              <w:rPr>
                <w:rFonts w:ascii="Times New Roman" w:hAnsi="Times New Roman"/>
                <w:color w:val="000000" w:themeColor="text1"/>
                <w:sz w:val="20"/>
                <w:szCs w:val="20"/>
              </w:rPr>
            </w:pPr>
            <w:r w:rsidRPr="00366414">
              <w:rPr>
                <w:rFonts w:ascii="Times New Roman" w:hAnsi="Times New Roman"/>
                <w:color w:val="000000" w:themeColor="text1"/>
                <w:sz w:val="20"/>
                <w:szCs w:val="20"/>
              </w:rPr>
              <w:t>n = 20)</w:t>
            </w:r>
          </w:p>
        </w:tc>
        <w:tc>
          <w:tcPr>
            <w:tcW w:w="1090" w:type="pct"/>
            <w:vAlign w:val="center"/>
          </w:tcPr>
          <w:p w14:paraId="66861E5B" w14:textId="77777777" w:rsidR="004F799F" w:rsidRPr="00366414" w:rsidRDefault="004F799F" w:rsidP="00D11173">
            <w:pPr>
              <w:jc w:val="center"/>
              <w:rPr>
                <w:rFonts w:ascii="Times New Roman" w:hAnsi="Times New Roman"/>
                <w:color w:val="000000" w:themeColor="text1"/>
                <w:sz w:val="20"/>
                <w:szCs w:val="20"/>
              </w:rPr>
            </w:pPr>
            <w:r w:rsidRPr="00366414">
              <w:rPr>
                <w:rFonts w:ascii="Times New Roman" w:hAnsi="Times New Roman"/>
                <w:color w:val="000000" w:themeColor="text1"/>
                <w:sz w:val="20"/>
                <w:szCs w:val="20"/>
              </w:rPr>
              <w:t>1061.4 ± 3.9 Ma</w:t>
            </w:r>
          </w:p>
          <w:p w14:paraId="424773E8" w14:textId="77777777" w:rsidR="004F799F" w:rsidRPr="00366414" w:rsidRDefault="004F799F" w:rsidP="00D11173">
            <w:pPr>
              <w:jc w:val="center"/>
              <w:rPr>
                <w:rFonts w:ascii="Times New Roman" w:hAnsi="Times New Roman"/>
                <w:color w:val="000000" w:themeColor="text1"/>
                <w:sz w:val="20"/>
                <w:szCs w:val="20"/>
              </w:rPr>
            </w:pPr>
            <w:r w:rsidRPr="00366414">
              <w:rPr>
                <w:rFonts w:ascii="Times New Roman" w:hAnsi="Times New Roman"/>
                <w:color w:val="000000" w:themeColor="text1"/>
                <w:sz w:val="20"/>
                <w:szCs w:val="20"/>
              </w:rPr>
              <w:t xml:space="preserve">(MSWD = 0.01, </w:t>
            </w:r>
          </w:p>
          <w:p w14:paraId="4A3665DF" w14:textId="77777777" w:rsidR="004F799F" w:rsidRPr="00366414" w:rsidRDefault="004F799F" w:rsidP="00D11173">
            <w:pPr>
              <w:jc w:val="center"/>
              <w:rPr>
                <w:rFonts w:ascii="Times New Roman" w:hAnsi="Times New Roman"/>
                <w:color w:val="000000" w:themeColor="text1"/>
                <w:sz w:val="20"/>
                <w:szCs w:val="20"/>
              </w:rPr>
            </w:pPr>
            <w:r w:rsidRPr="00366414">
              <w:rPr>
                <w:rFonts w:ascii="Times New Roman" w:hAnsi="Times New Roman"/>
                <w:color w:val="000000" w:themeColor="text1"/>
                <w:sz w:val="20"/>
                <w:szCs w:val="20"/>
              </w:rPr>
              <w:t>n = 20)</w:t>
            </w:r>
          </w:p>
        </w:tc>
        <w:tc>
          <w:tcPr>
            <w:tcW w:w="1090" w:type="pct"/>
            <w:vAlign w:val="center"/>
          </w:tcPr>
          <w:p w14:paraId="23EEE6A4" w14:textId="77777777" w:rsidR="004F799F" w:rsidRPr="00366414" w:rsidRDefault="004F799F" w:rsidP="00D11173">
            <w:pPr>
              <w:jc w:val="center"/>
              <w:rPr>
                <w:rFonts w:ascii="Times New Roman" w:hAnsi="Times New Roman"/>
                <w:color w:val="000000" w:themeColor="text1"/>
                <w:sz w:val="20"/>
                <w:szCs w:val="20"/>
              </w:rPr>
            </w:pPr>
            <w:r w:rsidRPr="00366414">
              <w:rPr>
                <w:rFonts w:ascii="Times New Roman" w:hAnsi="Times New Roman"/>
                <w:color w:val="000000" w:themeColor="text1"/>
                <w:sz w:val="20"/>
                <w:szCs w:val="20"/>
              </w:rPr>
              <w:t>1062.3 ± 1.6 Ma</w:t>
            </w:r>
          </w:p>
          <w:p w14:paraId="1F12F81F" w14:textId="77777777" w:rsidR="004F799F" w:rsidRPr="00366414" w:rsidRDefault="004F799F" w:rsidP="00D11173">
            <w:pPr>
              <w:jc w:val="center"/>
              <w:rPr>
                <w:rFonts w:ascii="Times New Roman" w:hAnsi="Times New Roman"/>
                <w:color w:val="000000" w:themeColor="text1"/>
                <w:sz w:val="20"/>
                <w:szCs w:val="20"/>
              </w:rPr>
            </w:pPr>
            <w:r w:rsidRPr="00366414">
              <w:rPr>
                <w:rFonts w:ascii="Times New Roman" w:hAnsi="Times New Roman"/>
                <w:color w:val="000000" w:themeColor="text1"/>
                <w:sz w:val="20"/>
                <w:szCs w:val="20"/>
              </w:rPr>
              <w:t xml:space="preserve">(MSWD = 0.89, </w:t>
            </w:r>
          </w:p>
          <w:p w14:paraId="35C58F3C" w14:textId="77777777" w:rsidR="004F799F" w:rsidRPr="00366414" w:rsidRDefault="004F799F" w:rsidP="00D11173">
            <w:pPr>
              <w:jc w:val="center"/>
              <w:rPr>
                <w:rFonts w:ascii="Times New Roman" w:hAnsi="Times New Roman"/>
                <w:color w:val="000000" w:themeColor="text1"/>
                <w:sz w:val="20"/>
                <w:szCs w:val="20"/>
              </w:rPr>
            </w:pPr>
            <w:r w:rsidRPr="00366414">
              <w:rPr>
                <w:rFonts w:ascii="Times New Roman" w:hAnsi="Times New Roman"/>
                <w:color w:val="000000" w:themeColor="text1"/>
                <w:sz w:val="20"/>
                <w:szCs w:val="20"/>
              </w:rPr>
              <w:t>n = 20)</w:t>
            </w:r>
          </w:p>
        </w:tc>
      </w:tr>
      <w:tr w:rsidR="004F799F" w14:paraId="6D34EB41" w14:textId="77777777" w:rsidTr="00D11173">
        <w:trPr>
          <w:jc w:val="center"/>
        </w:trPr>
        <w:tc>
          <w:tcPr>
            <w:tcW w:w="640" w:type="pct"/>
            <w:shd w:val="clear" w:color="auto" w:fill="E7E6E6" w:themeFill="background2"/>
            <w:vAlign w:val="center"/>
          </w:tcPr>
          <w:p w14:paraId="720AF3C4" w14:textId="77777777" w:rsidR="004F799F" w:rsidRPr="007A0AA7" w:rsidRDefault="004F799F" w:rsidP="00D11173">
            <w:pPr>
              <w:jc w:val="center"/>
              <w:rPr>
                <w:rFonts w:ascii="Times New Roman" w:hAnsi="Times New Roman"/>
                <w:sz w:val="20"/>
                <w:szCs w:val="20"/>
              </w:rPr>
            </w:pPr>
            <w:r w:rsidRPr="00515BA6">
              <w:rPr>
                <w:rFonts w:ascii="Times New Roman" w:hAnsi="Times New Roman"/>
                <w:b/>
                <w:bCs/>
                <w:sz w:val="20"/>
                <w:szCs w:val="20"/>
              </w:rPr>
              <w:t>OGC</w:t>
            </w:r>
          </w:p>
        </w:tc>
        <w:tc>
          <w:tcPr>
            <w:tcW w:w="1090" w:type="pct"/>
          </w:tcPr>
          <w:p w14:paraId="293699D2" w14:textId="77777777" w:rsidR="004F799F" w:rsidRPr="00515BA6" w:rsidRDefault="004F799F" w:rsidP="00D11173">
            <w:pPr>
              <w:contextualSpacing/>
              <w:jc w:val="center"/>
              <w:rPr>
                <w:rFonts w:ascii="Times New Roman" w:hAnsi="Times New Roman"/>
                <w:sz w:val="20"/>
                <w:szCs w:val="20"/>
              </w:rPr>
            </w:pPr>
            <w:r w:rsidRPr="00515BA6">
              <w:rPr>
                <w:rFonts w:ascii="Times New Roman" w:hAnsi="Times New Roman"/>
                <w:sz w:val="20"/>
                <w:szCs w:val="20"/>
              </w:rPr>
              <w:t>3467 ± 3 Ma</w:t>
            </w:r>
          </w:p>
          <w:p w14:paraId="2EB7CB42" w14:textId="77777777" w:rsidR="004F799F" w:rsidRPr="007A0AA7" w:rsidRDefault="004F799F" w:rsidP="00D11173">
            <w:pPr>
              <w:jc w:val="center"/>
              <w:rPr>
                <w:rFonts w:ascii="Times New Roman" w:hAnsi="Times New Roman"/>
                <w:sz w:val="20"/>
                <w:szCs w:val="20"/>
              </w:rPr>
            </w:pPr>
            <w:r w:rsidRPr="00515BA6">
              <w:rPr>
                <w:rFonts w:ascii="Times New Roman" w:hAnsi="Times New Roman"/>
                <w:sz w:val="20"/>
                <w:szCs w:val="20"/>
              </w:rPr>
              <w:t>(Stern et al., 2009)</w:t>
            </w:r>
          </w:p>
        </w:tc>
        <w:tc>
          <w:tcPr>
            <w:tcW w:w="1090" w:type="pct"/>
            <w:vAlign w:val="center"/>
          </w:tcPr>
          <w:p w14:paraId="5BFD5EC5" w14:textId="77777777" w:rsidR="004F799F" w:rsidRPr="00366414" w:rsidRDefault="004F799F" w:rsidP="00D11173">
            <w:pPr>
              <w:jc w:val="center"/>
              <w:rPr>
                <w:rFonts w:ascii="Times New Roman" w:hAnsi="Times New Roman"/>
                <w:color w:val="000000" w:themeColor="text1"/>
                <w:sz w:val="20"/>
                <w:szCs w:val="20"/>
              </w:rPr>
            </w:pPr>
            <w:r w:rsidRPr="00366414">
              <w:rPr>
                <w:rFonts w:ascii="Times New Roman" w:hAnsi="Times New Roman"/>
                <w:color w:val="000000" w:themeColor="text1"/>
                <w:sz w:val="20"/>
                <w:szCs w:val="20"/>
              </w:rPr>
              <w:t>3465.2 ± 2.2 Ma</w:t>
            </w:r>
          </w:p>
          <w:p w14:paraId="22298376" w14:textId="77777777" w:rsidR="004F799F" w:rsidRPr="00366414" w:rsidRDefault="004F799F" w:rsidP="00D11173">
            <w:pPr>
              <w:jc w:val="center"/>
              <w:rPr>
                <w:rFonts w:ascii="Times New Roman" w:hAnsi="Times New Roman"/>
                <w:color w:val="000000" w:themeColor="text1"/>
                <w:sz w:val="20"/>
                <w:szCs w:val="20"/>
              </w:rPr>
            </w:pPr>
            <w:r w:rsidRPr="00366414">
              <w:rPr>
                <w:rFonts w:ascii="Times New Roman" w:hAnsi="Times New Roman"/>
                <w:color w:val="000000" w:themeColor="text1"/>
                <w:sz w:val="20"/>
                <w:szCs w:val="20"/>
              </w:rPr>
              <w:t xml:space="preserve">(MSWD = 0.54, </w:t>
            </w:r>
          </w:p>
          <w:p w14:paraId="2DA4FBD1" w14:textId="77777777" w:rsidR="004F799F" w:rsidRPr="00366414" w:rsidRDefault="004F799F" w:rsidP="00D11173">
            <w:pPr>
              <w:jc w:val="center"/>
              <w:rPr>
                <w:rFonts w:ascii="Times New Roman" w:hAnsi="Times New Roman"/>
                <w:color w:val="000000" w:themeColor="text1"/>
                <w:sz w:val="20"/>
                <w:szCs w:val="20"/>
              </w:rPr>
            </w:pPr>
            <w:r w:rsidRPr="00366414">
              <w:rPr>
                <w:rFonts w:ascii="Times New Roman" w:hAnsi="Times New Roman"/>
                <w:color w:val="000000" w:themeColor="text1"/>
                <w:sz w:val="20"/>
                <w:szCs w:val="20"/>
              </w:rPr>
              <w:t>n = 18)</w:t>
            </w:r>
          </w:p>
        </w:tc>
        <w:tc>
          <w:tcPr>
            <w:tcW w:w="1090" w:type="pct"/>
            <w:vAlign w:val="center"/>
          </w:tcPr>
          <w:p w14:paraId="2D5D5260" w14:textId="77777777" w:rsidR="004F799F" w:rsidRPr="00366414" w:rsidRDefault="004F799F" w:rsidP="00D11173">
            <w:pPr>
              <w:jc w:val="center"/>
              <w:rPr>
                <w:rFonts w:ascii="Times New Roman" w:hAnsi="Times New Roman"/>
                <w:color w:val="000000" w:themeColor="text1"/>
                <w:sz w:val="20"/>
                <w:szCs w:val="20"/>
              </w:rPr>
            </w:pPr>
            <w:r w:rsidRPr="00366414">
              <w:rPr>
                <w:rFonts w:ascii="Times New Roman" w:hAnsi="Times New Roman"/>
                <w:color w:val="000000" w:themeColor="text1"/>
                <w:sz w:val="20"/>
                <w:szCs w:val="20"/>
              </w:rPr>
              <w:t>-</w:t>
            </w:r>
          </w:p>
        </w:tc>
        <w:tc>
          <w:tcPr>
            <w:tcW w:w="1090" w:type="pct"/>
            <w:vAlign w:val="center"/>
          </w:tcPr>
          <w:p w14:paraId="702DF15B" w14:textId="77777777" w:rsidR="004F799F" w:rsidRPr="00366414" w:rsidRDefault="004F799F" w:rsidP="00D11173">
            <w:pPr>
              <w:jc w:val="center"/>
              <w:rPr>
                <w:rFonts w:ascii="Times New Roman" w:hAnsi="Times New Roman"/>
                <w:color w:val="000000" w:themeColor="text1"/>
                <w:sz w:val="20"/>
                <w:szCs w:val="20"/>
              </w:rPr>
            </w:pPr>
            <w:r w:rsidRPr="00366414">
              <w:rPr>
                <w:rFonts w:ascii="Times New Roman" w:hAnsi="Times New Roman"/>
                <w:color w:val="000000" w:themeColor="text1"/>
                <w:sz w:val="20"/>
                <w:szCs w:val="20"/>
              </w:rPr>
              <w:t>3465.1 ± 4.0 Ma</w:t>
            </w:r>
          </w:p>
          <w:p w14:paraId="2D913103" w14:textId="77777777" w:rsidR="004F799F" w:rsidRPr="00366414" w:rsidRDefault="004F799F" w:rsidP="00D11173">
            <w:pPr>
              <w:jc w:val="center"/>
              <w:rPr>
                <w:rFonts w:ascii="Times New Roman" w:hAnsi="Times New Roman"/>
                <w:color w:val="000000" w:themeColor="text1"/>
                <w:sz w:val="20"/>
                <w:szCs w:val="20"/>
              </w:rPr>
            </w:pPr>
            <w:r w:rsidRPr="00366414">
              <w:rPr>
                <w:rFonts w:ascii="Times New Roman" w:hAnsi="Times New Roman"/>
                <w:color w:val="000000" w:themeColor="text1"/>
                <w:sz w:val="20"/>
                <w:szCs w:val="20"/>
              </w:rPr>
              <w:t xml:space="preserve">(MSWD = 1.69, </w:t>
            </w:r>
          </w:p>
          <w:p w14:paraId="36120ACB" w14:textId="77777777" w:rsidR="004F799F" w:rsidRPr="00366414" w:rsidRDefault="004F799F" w:rsidP="00D11173">
            <w:pPr>
              <w:jc w:val="center"/>
              <w:rPr>
                <w:rFonts w:ascii="Times New Roman" w:hAnsi="Times New Roman"/>
                <w:color w:val="000000" w:themeColor="text1"/>
                <w:sz w:val="20"/>
                <w:szCs w:val="20"/>
              </w:rPr>
            </w:pPr>
            <w:r w:rsidRPr="00366414">
              <w:rPr>
                <w:rFonts w:ascii="Times New Roman" w:hAnsi="Times New Roman"/>
                <w:color w:val="000000" w:themeColor="text1"/>
                <w:sz w:val="20"/>
                <w:szCs w:val="20"/>
              </w:rPr>
              <w:t>n = 14)</w:t>
            </w:r>
          </w:p>
        </w:tc>
      </w:tr>
    </w:tbl>
    <w:p w14:paraId="75BC645D" w14:textId="77777777" w:rsidR="004F799F" w:rsidRPr="00CD4302" w:rsidRDefault="004F799F" w:rsidP="004F799F">
      <w:pPr>
        <w:rPr>
          <w:sz w:val="16"/>
          <w:szCs w:val="16"/>
          <w:u w:val="single"/>
        </w:rPr>
      </w:pPr>
    </w:p>
    <w:p w14:paraId="57632B56" w14:textId="7F1954AA" w:rsidR="004F799F" w:rsidRPr="00CD4302" w:rsidRDefault="004F799F" w:rsidP="004F799F">
      <w:pPr>
        <w:rPr>
          <w:b/>
          <w:bCs/>
          <w:sz w:val="16"/>
          <w:szCs w:val="16"/>
        </w:rPr>
      </w:pPr>
      <w:r w:rsidRPr="00B50F70">
        <w:rPr>
          <w:b/>
          <w:bCs/>
          <w:szCs w:val="24"/>
        </w:rPr>
        <w:t>Conventional LA-Q-ICP-MS Zircon U-Pb Dating Methodology</w:t>
      </w:r>
      <w:r w:rsidR="00CD4302">
        <w:rPr>
          <w:b/>
          <w:bCs/>
          <w:szCs w:val="24"/>
        </w:rPr>
        <w:br/>
      </w:r>
    </w:p>
    <w:p w14:paraId="2E41613C" w14:textId="77777777" w:rsidR="004F799F" w:rsidRPr="00A25819" w:rsidRDefault="004F799F" w:rsidP="004F799F">
      <w:pPr>
        <w:spacing w:line="360" w:lineRule="auto"/>
        <w:ind w:firstLine="720"/>
        <w:contextualSpacing/>
        <w:jc w:val="both"/>
        <w:rPr>
          <w:noProof/>
          <w:szCs w:val="24"/>
          <w:lang w:val="fr-FR"/>
        </w:rPr>
      </w:pPr>
      <w:r>
        <w:rPr>
          <w:szCs w:val="24"/>
        </w:rPr>
        <w:t xml:space="preserve">LA-ICP-MS data collection was performed at the GeoHistory Facility in the John de Laeter Centre, Curtin University, Perth, Australia. Individual zircon grains (mounted and polished in 1” epoxy rounds) were ablated using a </w:t>
      </w:r>
      <w:r w:rsidRPr="00865301">
        <w:rPr>
          <w:szCs w:val="24"/>
        </w:rPr>
        <w:t xml:space="preserve">Resonetics </w:t>
      </w:r>
      <w:r>
        <w:rPr>
          <w:szCs w:val="24"/>
        </w:rPr>
        <w:t>RESO</w:t>
      </w:r>
      <w:r w:rsidRPr="00865301">
        <w:rPr>
          <w:szCs w:val="24"/>
        </w:rPr>
        <w:t xml:space="preserve">lution </w:t>
      </w:r>
      <w:r>
        <w:rPr>
          <w:szCs w:val="24"/>
        </w:rPr>
        <w:t>SE</w:t>
      </w:r>
      <w:r w:rsidRPr="00865301">
        <w:rPr>
          <w:szCs w:val="24"/>
        </w:rPr>
        <w:t xml:space="preserve"> </w:t>
      </w:r>
      <w:r>
        <w:rPr>
          <w:szCs w:val="24"/>
        </w:rPr>
        <w:t xml:space="preserve">193nm laser </w:t>
      </w:r>
      <w:r w:rsidRPr="00865301">
        <w:rPr>
          <w:szCs w:val="24"/>
        </w:rPr>
        <w:t xml:space="preserve">incorporating </w:t>
      </w:r>
      <w:r>
        <w:rPr>
          <w:szCs w:val="24"/>
        </w:rPr>
        <w:t xml:space="preserve">a dual volume S155 sample cell, with isotopic intensities determined on an Agilent 8900 QQQ (single stream). After two cleaning pulses and 35s of baseline signal acquisition, zircons were ablated </w:t>
      </w:r>
      <w:r w:rsidRPr="005A652D">
        <w:rPr>
          <w:szCs w:val="24"/>
        </w:rPr>
        <w:t>using a 38</w:t>
      </w:r>
      <w:r w:rsidRPr="00994C1F">
        <w:rPr>
          <w:szCs w:val="24"/>
        </w:rPr>
        <w:t xml:space="preserve"> µm diameter laser spot, 7 Hz laser repetition rate, and on-sample laser energy of 2.5 J cm</w:t>
      </w:r>
      <w:r w:rsidRPr="00994C1F">
        <w:rPr>
          <w:szCs w:val="24"/>
          <w:vertAlign w:val="superscript"/>
        </w:rPr>
        <w:t>-2</w:t>
      </w:r>
      <w:r w:rsidRPr="00994C1F">
        <w:rPr>
          <w:szCs w:val="24"/>
        </w:rPr>
        <w:t>.</w:t>
      </w:r>
      <w:r w:rsidRPr="00AF3E77">
        <w:rPr>
          <w:szCs w:val="24"/>
        </w:rPr>
        <w:t xml:space="preserve"> </w:t>
      </w:r>
      <w:r>
        <w:rPr>
          <w:szCs w:val="24"/>
        </w:rPr>
        <w:t>Ultrahigh purity He-N</w:t>
      </w:r>
      <w:r w:rsidRPr="00B87CB1">
        <w:rPr>
          <w:szCs w:val="24"/>
          <w:vertAlign w:val="subscript"/>
        </w:rPr>
        <w:t>2</w:t>
      </w:r>
      <w:r>
        <w:rPr>
          <w:szCs w:val="24"/>
        </w:rPr>
        <w:t xml:space="preserve"> was used to flush the cell (He 350 m</w:t>
      </w:r>
      <w:r w:rsidRPr="001B0C9C">
        <w:rPr>
          <w:szCs w:val="24"/>
        </w:rPr>
        <w:t>L min-1 and N</w:t>
      </w:r>
      <w:r w:rsidRPr="001B0C9C">
        <w:rPr>
          <w:szCs w:val="24"/>
          <w:vertAlign w:val="subscript"/>
        </w:rPr>
        <w:t>2</w:t>
      </w:r>
      <w:r>
        <w:rPr>
          <w:szCs w:val="24"/>
        </w:rPr>
        <w:t xml:space="preserve"> 3</w:t>
      </w:r>
      <w:r w:rsidRPr="001B0C9C">
        <w:rPr>
          <w:szCs w:val="24"/>
        </w:rPr>
        <w:t>.8 mL min-1</w:t>
      </w:r>
      <w:r>
        <w:rPr>
          <w:szCs w:val="24"/>
        </w:rPr>
        <w:t>)</w:t>
      </w:r>
      <w:r w:rsidRPr="001B0C9C">
        <w:rPr>
          <w:szCs w:val="24"/>
        </w:rPr>
        <w:t xml:space="preserve"> </w:t>
      </w:r>
      <w:r>
        <w:rPr>
          <w:szCs w:val="24"/>
        </w:rPr>
        <w:t xml:space="preserve">and high purity Ar was utilized </w:t>
      </w:r>
      <w:r>
        <w:rPr>
          <w:szCs w:val="24"/>
        </w:rPr>
        <w:lastRenderedPageBreak/>
        <w:t>as the carrier gas. The</w:t>
      </w:r>
      <w:r w:rsidRPr="006D6A88">
        <w:rPr>
          <w:szCs w:val="24"/>
        </w:rPr>
        <w:t xml:space="preserve"> following </w:t>
      </w:r>
      <w:r>
        <w:rPr>
          <w:szCs w:val="24"/>
        </w:rPr>
        <w:t>isotopes</w:t>
      </w:r>
      <w:r w:rsidRPr="006D6A88">
        <w:rPr>
          <w:szCs w:val="24"/>
        </w:rPr>
        <w:t xml:space="preserve"> were monitored </w:t>
      </w:r>
      <w:r w:rsidRPr="00A25819">
        <w:rPr>
          <w:szCs w:val="24"/>
        </w:rPr>
        <w:t>for 0.0</w:t>
      </w:r>
      <w:r>
        <w:rPr>
          <w:szCs w:val="24"/>
        </w:rPr>
        <w:t>2</w:t>
      </w:r>
      <w:r w:rsidRPr="00A25819">
        <w:rPr>
          <w:szCs w:val="24"/>
        </w:rPr>
        <w:t xml:space="preserve"> s each: </w:t>
      </w:r>
      <w:r w:rsidRPr="00A25819">
        <w:rPr>
          <w:szCs w:val="24"/>
          <w:vertAlign w:val="superscript"/>
        </w:rPr>
        <w:t>202</w:t>
      </w:r>
      <w:r w:rsidRPr="00A25819">
        <w:rPr>
          <w:szCs w:val="24"/>
        </w:rPr>
        <w:t xml:space="preserve">Hg, </w:t>
      </w:r>
      <w:r w:rsidRPr="00A25819">
        <w:rPr>
          <w:szCs w:val="24"/>
          <w:vertAlign w:val="superscript"/>
        </w:rPr>
        <w:t>204</w:t>
      </w:r>
      <w:r w:rsidRPr="00A25819">
        <w:rPr>
          <w:szCs w:val="24"/>
        </w:rPr>
        <w:t xml:space="preserve">Pb, </w:t>
      </w:r>
      <w:r w:rsidRPr="00A25819">
        <w:rPr>
          <w:szCs w:val="24"/>
          <w:vertAlign w:val="superscript"/>
        </w:rPr>
        <w:t>206</w:t>
      </w:r>
      <w:r w:rsidRPr="00A25819">
        <w:rPr>
          <w:szCs w:val="24"/>
        </w:rPr>
        <w:t xml:space="preserve">Pb, </w:t>
      </w:r>
      <w:r w:rsidRPr="00A25819">
        <w:rPr>
          <w:szCs w:val="24"/>
          <w:vertAlign w:val="superscript"/>
        </w:rPr>
        <w:t>207</w:t>
      </w:r>
      <w:r w:rsidRPr="00A25819">
        <w:rPr>
          <w:szCs w:val="24"/>
        </w:rPr>
        <w:t xml:space="preserve">Pb, </w:t>
      </w:r>
      <w:r w:rsidRPr="00A25819">
        <w:rPr>
          <w:szCs w:val="24"/>
          <w:vertAlign w:val="superscript"/>
        </w:rPr>
        <w:t>208</w:t>
      </w:r>
      <w:r w:rsidRPr="00A25819">
        <w:rPr>
          <w:szCs w:val="24"/>
        </w:rPr>
        <w:t xml:space="preserve">Pb, </w:t>
      </w:r>
      <w:r w:rsidRPr="00A25819">
        <w:rPr>
          <w:szCs w:val="24"/>
          <w:vertAlign w:val="superscript"/>
        </w:rPr>
        <w:t>232</w:t>
      </w:r>
      <w:r w:rsidRPr="00A25819">
        <w:rPr>
          <w:szCs w:val="24"/>
        </w:rPr>
        <w:t xml:space="preserve">Th, and </w:t>
      </w:r>
      <w:r w:rsidRPr="00A25819">
        <w:rPr>
          <w:szCs w:val="24"/>
          <w:vertAlign w:val="superscript"/>
        </w:rPr>
        <w:t>238</w:t>
      </w:r>
      <w:r w:rsidRPr="00A25819">
        <w:rPr>
          <w:szCs w:val="24"/>
        </w:rPr>
        <w:t xml:space="preserve">U. The primary reference material used in this study was 91500 (1062.4±0.4 Ma; Wiedenbeck et al., 1995) with </w:t>
      </w:r>
      <w:r w:rsidRPr="00ED07F3">
        <w:rPr>
          <w:szCs w:val="24"/>
        </w:rPr>
        <w:t>Plešovice</w:t>
      </w:r>
      <w:r w:rsidRPr="00A25819">
        <w:rPr>
          <w:szCs w:val="24"/>
        </w:rPr>
        <w:t xml:space="preserve"> (337.13±0.37 Ma; Sláma et al., 2008), GJ-1 (</w:t>
      </w:r>
      <w:r w:rsidRPr="00A25819">
        <w:rPr>
          <w:noProof/>
          <w:szCs w:val="24"/>
          <w:lang w:val="fr-FR"/>
        </w:rPr>
        <w:t>601.5± 0.40 Ma</w:t>
      </w:r>
    </w:p>
    <w:p w14:paraId="1D3BF89D" w14:textId="0AE16330" w:rsidR="004F799F" w:rsidRDefault="004F799F" w:rsidP="004F799F">
      <w:pPr>
        <w:spacing w:line="360" w:lineRule="auto"/>
        <w:ind w:firstLine="720"/>
        <w:jc w:val="both"/>
        <w:rPr>
          <w:szCs w:val="24"/>
        </w:rPr>
      </w:pPr>
      <w:r w:rsidRPr="00A25819">
        <w:rPr>
          <w:noProof/>
          <w:szCs w:val="24"/>
          <w:lang w:val="fr-FR"/>
        </w:rPr>
        <w:t>(Horstwood et al., 2016</w:t>
      </w:r>
      <w:r w:rsidRPr="00A25819">
        <w:rPr>
          <w:szCs w:val="24"/>
        </w:rPr>
        <w:t>) and OGC (3465.4±0.6; Stern et al., 2009) used as secondary age standards. Ages calculated for all zircon age standards, treated as unknowns</w:t>
      </w:r>
      <w:r>
        <w:rPr>
          <w:szCs w:val="24"/>
        </w:rPr>
        <w:t xml:space="preserve">, were found to be within uncertainty of the recommended value; </w:t>
      </w:r>
      <w:r w:rsidRPr="00ED07F3">
        <w:rPr>
          <w:szCs w:val="24"/>
        </w:rPr>
        <w:t>Plešovice</w:t>
      </w:r>
      <w:r w:rsidRPr="00AF1B34">
        <w:rPr>
          <w:szCs w:val="24"/>
        </w:rPr>
        <w:t xml:space="preserve"> (340.0±0.66; MSWD=0.71; n=23 Ma) with 91500 (1062.1±2.8 Ma; MSWD=0.11; n=23;), GJ-1 (603.6±1.2; MSWD=0.51; n=23) and </w:t>
      </w:r>
      <w:r w:rsidRPr="00851307">
        <w:rPr>
          <w:szCs w:val="24"/>
        </w:rPr>
        <w:t>OGC (3464.7±2.8 Ma; MSWD=0.49; n=23).</w:t>
      </w:r>
      <w:r>
        <w:rPr>
          <w:szCs w:val="24"/>
        </w:rPr>
        <w:t xml:space="preserve"> </w:t>
      </w:r>
      <w:r w:rsidRPr="003D23A9">
        <w:rPr>
          <w:szCs w:val="24"/>
        </w:rPr>
        <w:t xml:space="preserve">The </w:t>
      </w:r>
      <w:r>
        <w:rPr>
          <w:szCs w:val="24"/>
        </w:rPr>
        <w:t xml:space="preserve">time-resolved </w:t>
      </w:r>
      <w:r w:rsidRPr="003D23A9">
        <w:rPr>
          <w:szCs w:val="24"/>
        </w:rPr>
        <w:t>mass spectra were reduced using</w:t>
      </w:r>
      <w:r>
        <w:rPr>
          <w:szCs w:val="24"/>
        </w:rPr>
        <w:t xml:space="preserve"> the U_Pb_Geochronology3 data reduction scheme in </w:t>
      </w:r>
      <w:r w:rsidRPr="003D23A9">
        <w:rPr>
          <w:szCs w:val="24"/>
        </w:rPr>
        <w:t>Iolite (Paton et al, 2011 and references therein).</w:t>
      </w:r>
    </w:p>
    <w:p w14:paraId="59D84A5D" w14:textId="77777777" w:rsidR="00061BE6" w:rsidRDefault="00061BE6" w:rsidP="00563C47">
      <w:pPr>
        <w:rPr>
          <w:b/>
          <w:szCs w:val="24"/>
          <w:lang w:val="en-AU"/>
        </w:rPr>
      </w:pPr>
    </w:p>
    <w:p w14:paraId="38E6E975" w14:textId="3866687C" w:rsidR="00563C47" w:rsidRDefault="00563C47" w:rsidP="00563C47">
      <w:pPr>
        <w:rPr>
          <w:b/>
          <w:szCs w:val="24"/>
          <w:lang w:val="en-AU"/>
        </w:rPr>
      </w:pPr>
      <w:r>
        <w:rPr>
          <w:b/>
          <w:szCs w:val="24"/>
          <w:lang w:val="en-AU"/>
        </w:rPr>
        <w:t xml:space="preserve">Rapid </w:t>
      </w:r>
      <w:r w:rsidRPr="00563C47">
        <w:rPr>
          <w:b/>
          <w:szCs w:val="24"/>
          <w:lang w:val="en-AU"/>
        </w:rPr>
        <w:t xml:space="preserve"> LA-</w:t>
      </w:r>
      <w:r>
        <w:rPr>
          <w:b/>
          <w:szCs w:val="24"/>
          <w:lang w:val="en-AU"/>
        </w:rPr>
        <w:t>Q-</w:t>
      </w:r>
      <w:r w:rsidRPr="00563C47">
        <w:rPr>
          <w:b/>
          <w:szCs w:val="24"/>
          <w:lang w:val="en-AU"/>
        </w:rPr>
        <w:t xml:space="preserve">ICP-MS </w:t>
      </w:r>
      <w:r>
        <w:rPr>
          <w:b/>
          <w:szCs w:val="24"/>
          <w:lang w:val="en-AU"/>
        </w:rPr>
        <w:t>Zircon U-Pb Dating Methodology</w:t>
      </w:r>
    </w:p>
    <w:p w14:paraId="4BC324C1" w14:textId="77777777" w:rsidR="00061BE6" w:rsidRDefault="00061BE6" w:rsidP="00563C47">
      <w:pPr>
        <w:rPr>
          <w:b/>
          <w:szCs w:val="24"/>
          <w:lang w:val="en-AU"/>
        </w:rPr>
      </w:pPr>
    </w:p>
    <w:p w14:paraId="7F7BE40D" w14:textId="6895B0EF" w:rsidR="00BC6E82" w:rsidRPr="00BC6E82" w:rsidRDefault="00BC6E82" w:rsidP="00BC6E82">
      <w:pPr>
        <w:spacing w:line="360" w:lineRule="auto"/>
        <w:ind w:firstLine="720"/>
        <w:rPr>
          <w:szCs w:val="24"/>
          <w:lang w:val="en-AU"/>
        </w:rPr>
      </w:pPr>
      <w:r w:rsidRPr="00BC6E82">
        <w:rPr>
          <w:szCs w:val="24"/>
          <w:lang w:val="en-AU"/>
        </w:rPr>
        <w:t>Fast laser ablation inductively coupled plasma mass spectrometry (LA-ICP-MS) was performed at the GeoHistory Facility in the John de Laeter Centre, Curtin University, Perth, Australia. Ablations utilized an ASI RESOlution-SE 193 nm excimer laser controlled by GeoStar μGIS™ software. Laser fluence was calibrated above the sample cell using a hand held energy meter, and subsequent analyses were performed in constant energy mode. The Laurin Technic S155 sample cell was flushed</w:t>
      </w:r>
      <w:r w:rsidR="00341D47">
        <w:rPr>
          <w:szCs w:val="24"/>
          <w:lang w:val="en-AU"/>
        </w:rPr>
        <w:t xml:space="preserve"> by ultrahigh purity He (320 mL </w:t>
      </w:r>
      <w:r w:rsidRPr="00BC6E82">
        <w:rPr>
          <w:szCs w:val="24"/>
          <w:lang w:val="en-AU"/>
        </w:rPr>
        <w:t>min</w:t>
      </w:r>
      <w:r w:rsidR="00341D47" w:rsidRPr="00341D47">
        <w:rPr>
          <w:szCs w:val="24"/>
          <w:vertAlign w:val="superscript"/>
          <w:lang w:val="en-AU"/>
        </w:rPr>
        <w:t>-1</w:t>
      </w:r>
      <w:r w:rsidRPr="00BC6E82">
        <w:rPr>
          <w:szCs w:val="24"/>
          <w:lang w:val="en-AU"/>
        </w:rPr>
        <w:t>) and N</w:t>
      </w:r>
      <w:r w:rsidRPr="005666B2">
        <w:rPr>
          <w:szCs w:val="24"/>
          <w:vertAlign w:val="subscript"/>
          <w:lang w:val="en-AU"/>
        </w:rPr>
        <w:t>2</w:t>
      </w:r>
      <w:r w:rsidRPr="00BC6E82">
        <w:rPr>
          <w:szCs w:val="24"/>
          <w:lang w:val="en-AU"/>
        </w:rPr>
        <w:t xml:space="preserve"> (1.</w:t>
      </w:r>
      <w:r w:rsidR="00341D47">
        <w:rPr>
          <w:szCs w:val="24"/>
          <w:lang w:val="en-AU"/>
        </w:rPr>
        <w:t xml:space="preserve">2 mL </w:t>
      </w:r>
      <w:r w:rsidRPr="00BC6E82">
        <w:rPr>
          <w:szCs w:val="24"/>
          <w:lang w:val="en-AU"/>
        </w:rPr>
        <w:t>min</w:t>
      </w:r>
      <w:r w:rsidR="00341D47">
        <w:rPr>
          <w:szCs w:val="24"/>
          <w:vertAlign w:val="superscript"/>
          <w:lang w:val="en-AU"/>
        </w:rPr>
        <w:t>-1</w:t>
      </w:r>
      <w:r w:rsidRPr="00BC6E82">
        <w:rPr>
          <w:szCs w:val="24"/>
          <w:lang w:val="en-AU"/>
        </w:rPr>
        <w:t xml:space="preserve">), both of which were passed through inline gold sand Hg traps. High purity Ar was used as the ICP-MS carrier gas (flow rate ~1 L/min). All measurements were performed using an Agilent 8900 QQQ quadrupole ICP-MS operated in single quad mode. Each analytical session consisted of initial gas flow and ICP-MS ion lens tuning for sensitivity with the signal smoothing device (‘squid’) connected. Additional tuning adjusted flow parameters for robust plasma conditions (238U/232Th ~1; 206Pb/238U ~ 0.2; and 238UO/238U &lt;0.004). Finally, pulse-analog (P/A) conversion factors were determined on the NIST 610 reference glass by varying laser spot sizes and/or laser repetition rate to yield 1-2 Mcps per element. After tuning, the signal smoothing device was removed and the laser was connected to the mass spectrometer via a shorter (~60 cm) length of Teflon tubing. Using this setup, signal wash-in and wash-out times were typically around 200 and 600 ms, respectively. </w:t>
      </w:r>
      <w:r w:rsidRPr="00BC6E82">
        <w:rPr>
          <w:szCs w:val="24"/>
          <w:lang w:val="en-AU"/>
        </w:rPr>
        <w:lastRenderedPageBreak/>
        <w:t xml:space="preserve">Following Chew et al. (2019), laser parameters were chosen as 20 µm spot diameter, 50 Hz repetition rate, and on-sample laser energy of 2 Jcm-2. The Geostar software sequence for fast ablations consisted of a 3 s delay after the TTL pulse for baseline acquisition, 4 s ablation, and 7 s delay for the 8900 to complete data handling and return to a ‘wait for trigger’ state. 91Zr, 206Pb, 207Pb, 208Pb, 232Th, and 238U were collected with dwell times of 3, 15, 20, 6, 6, and 9 ms, respectively, for a total acquisition time of 10s, and a duty cycle (data aqusition time/total time) of about 66%. The time-resolved mass spectra were reduced using the ‘U-Pb Geochronology’ data reduction scheme in Iolite 4.3.5.3 (Paton et al., 2011 and references therein). The primary dating reference materials used in this study were 91500 (1062.4±0.4 Ma; Wiedenbeck et al., 1995) and/or OG1 (3465.4±0.6; Stern et al., 2009) with Plešovice (337.13±0.37 Ma; Sláma et al., 2008) and GJ-1 (608.53±0.37; Jackson et al., 2004) analysed as secondary age standards. Concordia ages calculated using IsoplotR (Vermeesch P., 2018, Geoscience Frontiers, 9, 1479-1493) for zircon reference materials Plešovice and GJ1, treated as unknowns against primary reference material 91500, were 342 ± 2 Ma and 608 ± 2 Ma (n=32; errors are 95% conf. including internal and external sources of error), respectively, and are within uncertainty of their accepted ages. </w:t>
      </w:r>
    </w:p>
    <w:p w14:paraId="485A486D" w14:textId="3BD901F9" w:rsidR="00996CDC" w:rsidRPr="00563C47" w:rsidRDefault="00BC6E82" w:rsidP="00996CDC">
      <w:pPr>
        <w:spacing w:line="360" w:lineRule="auto"/>
        <w:ind w:firstLine="720"/>
        <w:rPr>
          <w:szCs w:val="24"/>
          <w:lang w:val="en-AU"/>
        </w:rPr>
      </w:pPr>
      <w:r w:rsidRPr="00BC6E82">
        <w:rPr>
          <w:szCs w:val="24"/>
          <w:lang w:val="en-AU"/>
        </w:rPr>
        <w:t>Because the fast ablation protocol outlined here does not include pre-ablation cleaning pulses to remove surface contamination, we assessed accuracy of Pb isotope data by comparing the results from fast ablation analyses to a corresponding data set collected using the same grains and standard materials, but using a conventional LA-ICP-MS geochronology method. Inspection of all zircon reference data in inverse Concordia space does not reveal any discernible trends to indicate surface derived common lead contamination. Sample data is generally more scattered in nature, but a comparison of discordance (expressed as (7/6-6/8)/(7/6)*100) for both data sets does not reveal a statistically significant difference (fig.</w:t>
      </w:r>
      <w:r w:rsidR="00EC2149">
        <w:rPr>
          <w:szCs w:val="24"/>
          <w:lang w:val="en-AU"/>
        </w:rPr>
        <w:t xml:space="preserve"> S7</w:t>
      </w:r>
      <w:r w:rsidRPr="00BC6E82">
        <w:rPr>
          <w:szCs w:val="24"/>
          <w:lang w:val="en-AU"/>
        </w:rPr>
        <w:t xml:space="preserve"> below). We conclude that the lack of cleaning pulses during the fast ablation protocol does not introduce significant additional non-radiogenic Pb, and that the method is well suited to characterize a large sample pool for the purpose of identifying specific grain populations which can then be subjected to a subsequent conventional, more precise analysis</w:t>
      </w:r>
    </w:p>
    <w:p w14:paraId="584DCC81" w14:textId="0CFCD88A" w:rsidR="00563C47" w:rsidRPr="00563C47" w:rsidRDefault="00E671CA" w:rsidP="00563C47">
      <w:pPr>
        <w:rPr>
          <w:b/>
          <w:szCs w:val="24"/>
          <w:lang w:val="en-AU"/>
        </w:rPr>
      </w:pPr>
      <w:r w:rsidRPr="00BF0EE8">
        <w:rPr>
          <w:b/>
          <w:bCs/>
          <w:noProof/>
          <w:color w:val="000000" w:themeColor="text1"/>
          <w:szCs w:val="24"/>
          <w:lang w:val="en-AU" w:eastAsia="en-AU"/>
        </w:rPr>
        <w:lastRenderedPageBreak/>
        <mc:AlternateContent>
          <mc:Choice Requires="wps">
            <w:drawing>
              <wp:anchor distT="45720" distB="45720" distL="114300" distR="114300" simplePos="0" relativeHeight="251663360" behindDoc="0" locked="0" layoutInCell="1" allowOverlap="1" wp14:anchorId="3F7D6C17" wp14:editId="3E637366">
                <wp:simplePos x="0" y="0"/>
                <wp:positionH relativeFrom="margin">
                  <wp:posOffset>3533775</wp:posOffset>
                </wp:positionH>
                <wp:positionV relativeFrom="paragraph">
                  <wp:posOffset>467360</wp:posOffset>
                </wp:positionV>
                <wp:extent cx="1990725" cy="2086610"/>
                <wp:effectExtent l="0" t="0" r="9525" b="889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086610"/>
                        </a:xfrm>
                        <a:prstGeom prst="rect">
                          <a:avLst/>
                        </a:prstGeom>
                        <a:solidFill>
                          <a:srgbClr val="FFFFFF"/>
                        </a:solidFill>
                        <a:ln w="9525">
                          <a:noFill/>
                          <a:miter lim="800000"/>
                          <a:headEnd/>
                          <a:tailEnd/>
                        </a:ln>
                      </wps:spPr>
                      <wps:txbx>
                        <w:txbxContent>
                          <w:p w14:paraId="7FCAB15E" w14:textId="67485728" w:rsidR="00BC6E82" w:rsidRDefault="00BC6E82" w:rsidP="00E671CA">
                            <w:r>
                              <w:t xml:space="preserve">Figure S7: Box and whisker plot of discordance in 150 of the same grains in the rapid (left) vs. follow up conventional analysis sessions (orange).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D6C17" id="_x0000_s1028" type="#_x0000_t202" style="position:absolute;margin-left:278.25pt;margin-top:36.8pt;width:156.75pt;height:164.3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" stroked="f">
                <v:textbox>
                  <w:txbxContent>
                    <w:p w14:paraId="7FCAB15E" w14:textId="67485728" w:rsidR="00BC6E82" w:rsidRDefault="00BC6E82" w:rsidP="00E671CA">
                      <w:r>
                        <w:t xml:space="preserve">Figure S7: Box and whisker plot of discordance in 150 of the same grains in the rapid (left) vs. follow up conventional analysis sessions (orange). </w:t>
                      </w:r>
                    </w:p>
                  </w:txbxContent>
                </v:textbox>
                <w10:wrap anchorx="margin"/>
              </v:shape>
            </w:pict>
          </mc:Fallback>
        </mc:AlternateContent>
      </w:r>
      <w:r w:rsidR="00563C47" w:rsidRPr="00563C47">
        <w:rPr>
          <w:b/>
          <w:noProof/>
          <w:szCs w:val="24"/>
          <w:lang w:val="en-AU" w:eastAsia="en-AU"/>
        </w:rPr>
        <mc:AlternateContent>
          <mc:Choice Requires="cx1">
            <w:drawing>
              <wp:inline distT="0" distB="0" distL="0" distR="0" wp14:anchorId="3BAB6860" wp14:editId="30E5B34F">
                <wp:extent cx="3476625" cy="2152650"/>
                <wp:effectExtent l="0" t="0" r="9525" b="0"/>
                <wp:docPr id="1" name="Chart 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6"/>
                  </a:graphicData>
                </a:graphic>
              </wp:inline>
            </w:drawing>
          </mc:Choice>
          <mc:Fallback>
            <w:drawing>
              <wp:inline distT="0" distB="0" distL="0" distR="0" wp14:anchorId="3BAB6860" wp14:editId="30E5B34F">
                <wp:extent cx="3476625" cy="2152650"/>
                <wp:effectExtent l="0" t="0" r="9525" b="0"/>
                <wp:docPr id="1" name="Chart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Chart 1"/>
                        <pic:cNvPicPr>
                          <a:picLocks noGrp="1" noRot="1" noChangeAspect="1" noMove="1" noResize="1" noEditPoints="1" noAdjustHandles="1" noChangeArrowheads="1" noChangeShapeType="1"/>
                        </pic:cNvPicPr>
                      </pic:nvPicPr>
                      <pic:blipFill>
                        <a:blip r:embed="rId19"/>
                        <a:stretch>
                          <a:fillRect/>
                        </a:stretch>
                      </pic:blipFill>
                      <pic:spPr>
                        <a:xfrm>
                          <a:off x="0" y="0"/>
                          <a:ext cx="3476625" cy="2152650"/>
                        </a:xfrm>
                        <a:prstGeom prst="rect">
                          <a:avLst/>
                        </a:prstGeom>
                      </pic:spPr>
                    </pic:pic>
                  </a:graphicData>
                </a:graphic>
              </wp:inline>
            </w:drawing>
          </mc:Fallback>
        </mc:AlternateContent>
      </w:r>
    </w:p>
    <w:p w14:paraId="1EFB64C0" w14:textId="62E8DD71" w:rsidR="004F799F" w:rsidRPr="00944068" w:rsidRDefault="00C87940" w:rsidP="004F799F">
      <w:pPr>
        <w:rPr>
          <w:b/>
          <w:szCs w:val="24"/>
        </w:rPr>
      </w:pPr>
      <w:r>
        <w:rPr>
          <w:b/>
          <w:szCs w:val="24"/>
        </w:rPr>
        <w:br w:type="page"/>
      </w:r>
      <w:r w:rsidR="004F799F" w:rsidRPr="00944068">
        <w:rPr>
          <w:b/>
          <w:szCs w:val="24"/>
        </w:rPr>
        <w:lastRenderedPageBreak/>
        <w:t>Acknowledgements:</w:t>
      </w:r>
    </w:p>
    <w:p w14:paraId="2D54CEF3" w14:textId="77777777" w:rsidR="004F799F" w:rsidRPr="00FC17AD" w:rsidRDefault="004F799F" w:rsidP="004F799F">
      <w:pPr>
        <w:rPr>
          <w:szCs w:val="24"/>
          <w:lang w:val="en-AU" w:eastAsia="en-GB"/>
        </w:rPr>
      </w:pPr>
      <w:r w:rsidRPr="00FC17AD">
        <w:rPr>
          <w:color w:val="000000"/>
          <w:szCs w:val="24"/>
        </w:rPr>
        <w:t xml:space="preserve">The GeoHistory Facility, JdLC, Curtin University is </w:t>
      </w:r>
      <w:r>
        <w:rPr>
          <w:color w:val="000000"/>
          <w:szCs w:val="24"/>
        </w:rPr>
        <w:t xml:space="preserve">partially </w:t>
      </w:r>
      <w:r w:rsidRPr="00FC17AD">
        <w:rPr>
          <w:color w:val="000000"/>
          <w:szCs w:val="24"/>
        </w:rPr>
        <w:t xml:space="preserve">supported </w:t>
      </w:r>
      <w:r>
        <w:rPr>
          <w:color w:val="000000"/>
          <w:szCs w:val="24"/>
        </w:rPr>
        <w:t>by A</w:t>
      </w:r>
      <w:r w:rsidRPr="00FC17AD">
        <w:rPr>
          <w:color w:val="000000"/>
          <w:szCs w:val="24"/>
          <w:lang w:val="en-AU" w:eastAsia="en-GB"/>
        </w:rPr>
        <w:t>uScope</w:t>
      </w:r>
      <w:r>
        <w:rPr>
          <w:color w:val="000000"/>
          <w:szCs w:val="24"/>
          <w:lang w:val="en-AU" w:eastAsia="en-GB"/>
        </w:rPr>
        <w:t xml:space="preserve"> </w:t>
      </w:r>
      <w:r w:rsidRPr="00FC17AD">
        <w:rPr>
          <w:color w:val="000000"/>
          <w:szCs w:val="24"/>
          <w:lang w:val="en-AU" w:eastAsia="en-GB"/>
        </w:rPr>
        <w:t>(auscope.org.au) and the Australian Government via the National Collaborative Research Infrastructure Strategy (NCRIS). </w:t>
      </w:r>
      <w:r w:rsidRPr="00FC17AD">
        <w:rPr>
          <w:color w:val="000000"/>
          <w:szCs w:val="24"/>
        </w:rPr>
        <w:t>The NPII multi-collector was purchased through ARC LIEF LE150100013.</w:t>
      </w:r>
    </w:p>
    <w:p w14:paraId="422B041B" w14:textId="77777777" w:rsidR="00C87940" w:rsidRDefault="00C87940" w:rsidP="004F799F">
      <w:pPr>
        <w:rPr>
          <w:b/>
          <w:szCs w:val="24"/>
        </w:rPr>
      </w:pPr>
    </w:p>
    <w:p w14:paraId="318704E6" w14:textId="4C137472" w:rsidR="004F799F" w:rsidRDefault="004F799F" w:rsidP="004F799F">
      <w:pPr>
        <w:rPr>
          <w:b/>
          <w:szCs w:val="24"/>
        </w:rPr>
      </w:pPr>
      <w:r w:rsidRPr="00865301">
        <w:rPr>
          <w:b/>
          <w:szCs w:val="24"/>
        </w:rPr>
        <w:t>References:</w:t>
      </w:r>
    </w:p>
    <w:p w14:paraId="3F9ECC78" w14:textId="5756A96A" w:rsidR="00F0786C" w:rsidRDefault="00F0786C" w:rsidP="00F0786C">
      <w:pPr>
        <w:rPr>
          <w:b/>
          <w:szCs w:val="24"/>
        </w:rPr>
      </w:pPr>
    </w:p>
    <w:p w14:paraId="4A5CE95F" w14:textId="77777777" w:rsidR="00B53ECC" w:rsidRPr="00B53ECC" w:rsidRDefault="00B53ECC" w:rsidP="00DF4FBF">
      <w:pPr>
        <w:ind w:left="720" w:hanging="720"/>
        <w:rPr>
          <w:szCs w:val="24"/>
        </w:rPr>
      </w:pPr>
      <w:r w:rsidRPr="00B53ECC">
        <w:rPr>
          <w:szCs w:val="24"/>
        </w:rPr>
        <w:t>Aleinikoff, J.N., Wintsch, R., Tollo, R.P., Unruh, D.M, Fanning, C.M. Schmitz M.D, 2007, Ages and origins of rocks of the Killingworth dome, south-central Connecticut: implications for the tectonic evolution of southern New England. Am. J. Sci., v. 307, no. 1, p. 63-118.</w:t>
      </w:r>
    </w:p>
    <w:p w14:paraId="6971BEF2" w14:textId="77777777" w:rsidR="00B53ECC" w:rsidRPr="00B53ECC" w:rsidRDefault="00B53ECC" w:rsidP="00DF4FBF">
      <w:pPr>
        <w:ind w:left="720" w:hanging="720"/>
        <w:rPr>
          <w:szCs w:val="24"/>
        </w:rPr>
      </w:pPr>
    </w:p>
    <w:p w14:paraId="4BB73729" w14:textId="77777777" w:rsidR="00B53ECC" w:rsidRPr="00B53ECC" w:rsidRDefault="00B53ECC" w:rsidP="00DF4FBF">
      <w:pPr>
        <w:ind w:left="720" w:hanging="720"/>
        <w:rPr>
          <w:szCs w:val="24"/>
        </w:rPr>
      </w:pPr>
      <w:r w:rsidRPr="00B53ECC">
        <w:rPr>
          <w:szCs w:val="24"/>
        </w:rPr>
        <w:t>Allmendinger, R. W., Cardozo, N. C., and Fisher, D., 2013, Structural Geology Algorithms: Vectors &amp; Tensors: Cambridge, England, Cambridge University Press, 289 pp.</w:t>
      </w:r>
    </w:p>
    <w:p w14:paraId="4ECBF34A" w14:textId="77777777" w:rsidR="00B53ECC" w:rsidRPr="00B53ECC" w:rsidRDefault="00B53ECC" w:rsidP="00DF4FBF">
      <w:pPr>
        <w:ind w:left="720" w:hanging="720"/>
        <w:rPr>
          <w:szCs w:val="24"/>
        </w:rPr>
      </w:pPr>
    </w:p>
    <w:p w14:paraId="01413E18" w14:textId="77777777" w:rsidR="00B53ECC" w:rsidRPr="00B53ECC" w:rsidRDefault="00B53ECC" w:rsidP="00DF4FBF">
      <w:pPr>
        <w:ind w:left="720" w:hanging="720"/>
        <w:rPr>
          <w:szCs w:val="24"/>
        </w:rPr>
      </w:pPr>
      <w:r w:rsidRPr="00B53ECC">
        <w:rPr>
          <w:szCs w:val="24"/>
        </w:rPr>
        <w:t>Bouvier, A., Vervoort, J.D., and Patchett, P.J., 2008, The Lu-Hf and Sm-Nd isotopic composition of CHUR: Constraints from unequilibrated chondrites and implications for the bulk composition of terrestrial planets: Earth and Planetary Science Letters, v. 273, no. 1-2</w:t>
      </w:r>
    </w:p>
    <w:p w14:paraId="3EF7DAE3" w14:textId="77777777" w:rsidR="00B53ECC" w:rsidRPr="00B53ECC" w:rsidRDefault="00B53ECC" w:rsidP="00DF4FBF">
      <w:pPr>
        <w:ind w:left="720" w:hanging="720"/>
        <w:rPr>
          <w:szCs w:val="24"/>
        </w:rPr>
      </w:pPr>
    </w:p>
    <w:p w14:paraId="45950AD6" w14:textId="77777777" w:rsidR="00B53ECC" w:rsidRPr="00B53ECC" w:rsidRDefault="00B53ECC" w:rsidP="00DF4FBF">
      <w:pPr>
        <w:ind w:left="720" w:hanging="720"/>
        <w:rPr>
          <w:szCs w:val="24"/>
        </w:rPr>
      </w:pPr>
      <w:r w:rsidRPr="00B53ECC">
        <w:rPr>
          <w:szCs w:val="24"/>
        </w:rPr>
        <w:t>Box, S.E., Pritchard, C., Stephens, T.S., and O’Sullivan, P.B., 2020, Between the supercontinents - Mesoproterozoic Deer Trail Group, an intermediate age unit between the Mesoproterozoic Belt-Purcell Supergroup and the Neoproterozoic Windermere Supergroup in northeastern Washington, U.S.A.: Canadian Journal of Earth Sciences, v. 17, p. 1–17, doi:10.1139/cjes-2019-0188.</w:t>
      </w:r>
    </w:p>
    <w:p w14:paraId="01CD86EB" w14:textId="77777777" w:rsidR="00B53ECC" w:rsidRPr="00B53ECC" w:rsidRDefault="00B53ECC" w:rsidP="00DF4FBF">
      <w:pPr>
        <w:ind w:left="720" w:hanging="720"/>
        <w:rPr>
          <w:szCs w:val="24"/>
        </w:rPr>
      </w:pPr>
    </w:p>
    <w:p w14:paraId="44BD8A50" w14:textId="77777777" w:rsidR="00B53ECC" w:rsidRPr="00B53ECC" w:rsidRDefault="00B53ECC" w:rsidP="00DF4FBF">
      <w:pPr>
        <w:ind w:left="720" w:hanging="720"/>
        <w:rPr>
          <w:szCs w:val="24"/>
        </w:rPr>
      </w:pPr>
      <w:r w:rsidRPr="00B53ECC">
        <w:rPr>
          <w:szCs w:val="24"/>
        </w:rPr>
        <w:t>Blichert-Toft, J., and Albarède, F., 1997, The Lu-Hf isotope geochemistry of chondrites and the evolution of the mantle-crust system: Earth and Planetary Science Letters, v. 148, no. 1, p. 243-258.</w:t>
      </w:r>
    </w:p>
    <w:p w14:paraId="366FE799" w14:textId="77777777" w:rsidR="00B53ECC" w:rsidRPr="00B53ECC" w:rsidRDefault="00B53ECC" w:rsidP="00DF4FBF">
      <w:pPr>
        <w:ind w:left="720" w:hanging="720"/>
        <w:rPr>
          <w:szCs w:val="24"/>
        </w:rPr>
      </w:pPr>
    </w:p>
    <w:p w14:paraId="7E149C77" w14:textId="77777777" w:rsidR="00B53ECC" w:rsidRPr="00B53ECC" w:rsidRDefault="00B53ECC" w:rsidP="00DF4FBF">
      <w:pPr>
        <w:ind w:left="720" w:hanging="720"/>
        <w:rPr>
          <w:szCs w:val="24"/>
        </w:rPr>
      </w:pPr>
      <w:r w:rsidRPr="00B53ECC">
        <w:rPr>
          <w:szCs w:val="24"/>
        </w:rPr>
        <w:t>Campbell, I. &amp; Loofbourow J.S., 1962, Geology of the Magnesite Belt of Stevens County, Washington. U.S. Geological Survey, Bulletin 1142-F, 53p.</w:t>
      </w:r>
    </w:p>
    <w:p w14:paraId="77C370CC" w14:textId="77777777" w:rsidR="00B53ECC" w:rsidRPr="00B53ECC" w:rsidRDefault="00B53ECC" w:rsidP="00DF4FBF">
      <w:pPr>
        <w:ind w:left="720" w:hanging="720"/>
        <w:rPr>
          <w:szCs w:val="24"/>
        </w:rPr>
      </w:pPr>
    </w:p>
    <w:p w14:paraId="1FCB2DC9" w14:textId="33C857E9" w:rsidR="00B53ECC" w:rsidRDefault="00B53ECC" w:rsidP="00DF4FBF">
      <w:pPr>
        <w:ind w:left="720" w:hanging="720"/>
        <w:rPr>
          <w:szCs w:val="24"/>
        </w:rPr>
      </w:pPr>
      <w:r w:rsidRPr="00B53ECC">
        <w:rPr>
          <w:szCs w:val="24"/>
        </w:rPr>
        <w:t>Cardozo, N., and Allmendinger, R. W., 2013, Spherical projections with OSXStereonet: Computers &amp; Geosciences, v. 51, no. 0, p. 193 - 205, doi: 10.1016/j.cageo.2012.07.021</w:t>
      </w:r>
    </w:p>
    <w:p w14:paraId="27E15153" w14:textId="77777777" w:rsidR="009601C6" w:rsidRPr="00B53ECC" w:rsidRDefault="009601C6" w:rsidP="00DF4FBF">
      <w:pPr>
        <w:ind w:left="720" w:hanging="720"/>
        <w:rPr>
          <w:szCs w:val="24"/>
        </w:rPr>
      </w:pPr>
    </w:p>
    <w:p w14:paraId="50A82C3E" w14:textId="77A436EA" w:rsidR="00B53ECC" w:rsidRDefault="00B53ECC" w:rsidP="00DF4FBF">
      <w:pPr>
        <w:ind w:left="720" w:hanging="720"/>
        <w:rPr>
          <w:szCs w:val="24"/>
        </w:rPr>
      </w:pPr>
      <w:r w:rsidRPr="00B53ECC">
        <w:rPr>
          <w:szCs w:val="24"/>
        </w:rPr>
        <w:t>Copeland, P., 2020, On the use of geochronology of detrital grains in determining the time of deposition of clastic sedimentary strata: Basin Research, p. 1–15, doi:10.1111/bre.12441.</w:t>
      </w:r>
    </w:p>
    <w:p w14:paraId="71DB980E" w14:textId="77777777" w:rsidR="009601C6" w:rsidRPr="00B53ECC" w:rsidRDefault="009601C6" w:rsidP="00DF4FBF">
      <w:pPr>
        <w:ind w:left="720" w:hanging="720"/>
        <w:rPr>
          <w:szCs w:val="24"/>
        </w:rPr>
      </w:pPr>
    </w:p>
    <w:p w14:paraId="5EB63784" w14:textId="7A398014" w:rsidR="00B53ECC" w:rsidRDefault="00B53ECC" w:rsidP="00DF4FBF">
      <w:pPr>
        <w:ind w:left="720" w:hanging="720"/>
        <w:rPr>
          <w:szCs w:val="24"/>
        </w:rPr>
      </w:pPr>
      <w:r w:rsidRPr="00B53ECC">
        <w:rPr>
          <w:szCs w:val="24"/>
        </w:rPr>
        <w:t>Coutts, D.S., Matthews, W.A., and Hubbard, S.M., 2019, Assessment of widely used methods to derive depositional ages from detrital zircon populations: Geoscience Frontiers, v. 10, p. 1421–1435, doi:10.1016/j.gsf.2018.11.002.</w:t>
      </w:r>
    </w:p>
    <w:p w14:paraId="0AF38910" w14:textId="77777777" w:rsidR="009601C6" w:rsidRPr="00B53ECC" w:rsidRDefault="009601C6" w:rsidP="00DF4FBF">
      <w:pPr>
        <w:ind w:left="720" w:hanging="720"/>
        <w:rPr>
          <w:szCs w:val="24"/>
        </w:rPr>
      </w:pPr>
    </w:p>
    <w:p w14:paraId="0F7C9980" w14:textId="77777777" w:rsidR="00B53ECC" w:rsidRPr="00B53ECC" w:rsidRDefault="00B53ECC" w:rsidP="00DF4FBF">
      <w:pPr>
        <w:ind w:left="720" w:hanging="720"/>
        <w:rPr>
          <w:szCs w:val="24"/>
        </w:rPr>
      </w:pPr>
      <w:r w:rsidRPr="00B53ECC">
        <w:rPr>
          <w:szCs w:val="24"/>
        </w:rPr>
        <w:t>Chu, N.-C., Taylor, R. N., Chavagnac, V., Nesbitt, R. W., Boella, R. M., Milton, J. A., German, C. R., Bayon, G., and Burton, K., 2002, Hf isotope ratio analysis using multi-collector inductively coupled plasma mass spectrometry: an evaluation of isobaric interference corrections: Journal of Analytical Atomic Spectrometry, v. 17, no. 12, p. 1567-1574.</w:t>
      </w:r>
    </w:p>
    <w:p w14:paraId="3A196F1C" w14:textId="77777777" w:rsidR="00B53ECC" w:rsidRPr="00B53ECC" w:rsidRDefault="00B53ECC" w:rsidP="00DF4FBF">
      <w:pPr>
        <w:ind w:left="720" w:hanging="720"/>
        <w:rPr>
          <w:szCs w:val="24"/>
        </w:rPr>
      </w:pPr>
    </w:p>
    <w:p w14:paraId="7CC85411" w14:textId="77777777" w:rsidR="00B53ECC" w:rsidRPr="00B53ECC" w:rsidRDefault="00B53ECC" w:rsidP="00DF4FBF">
      <w:pPr>
        <w:ind w:left="720" w:hanging="720"/>
        <w:rPr>
          <w:szCs w:val="24"/>
        </w:rPr>
      </w:pPr>
      <w:r w:rsidRPr="00B53ECC">
        <w:rPr>
          <w:szCs w:val="24"/>
        </w:rPr>
        <w:t>Decelles, P.G., Langford, R.P., and Schwartz, R.K., 1983, Two new methods of paleocurrent determination from trough cross- stratification.: Journal of Sedimentary Petrology, v. 53, p. 629–642, doi:10.1306/212F824C-2B24-11D7-8648000102C1865D.</w:t>
      </w:r>
    </w:p>
    <w:p w14:paraId="2C4E1AA5" w14:textId="77777777" w:rsidR="00B53ECC" w:rsidRPr="00B53ECC" w:rsidRDefault="00B53ECC" w:rsidP="00DF4FBF">
      <w:pPr>
        <w:ind w:left="720" w:hanging="720"/>
        <w:rPr>
          <w:szCs w:val="24"/>
        </w:rPr>
      </w:pPr>
    </w:p>
    <w:p w14:paraId="4B60F931" w14:textId="05AAAA9F" w:rsidR="00B53ECC" w:rsidRPr="00B53ECC" w:rsidRDefault="00B53ECC" w:rsidP="00DF4FBF">
      <w:pPr>
        <w:ind w:left="720" w:hanging="720"/>
        <w:rPr>
          <w:szCs w:val="24"/>
        </w:rPr>
      </w:pPr>
      <w:r w:rsidRPr="00B53ECC">
        <w:rPr>
          <w:szCs w:val="24"/>
        </w:rPr>
        <w:t>Dehler, C.M., Fanning, C.M., Link, P.K., Kingsbury, E.M., and Rybczynski, D., 2010, Maximum depositional age and provenance of the Uinta Mountain group and big cottonwood formation, northern Utah: Paleogeography of rifting western Laurentia: Geological Society of America</w:t>
      </w:r>
      <w:r w:rsidR="00345DF4">
        <w:rPr>
          <w:szCs w:val="24"/>
        </w:rPr>
        <w:t xml:space="preserve"> Bulletin</w:t>
      </w:r>
      <w:r w:rsidRPr="00B53ECC">
        <w:rPr>
          <w:szCs w:val="24"/>
        </w:rPr>
        <w:t>, v. 122, p. 1686–1699, doi:10.1130/B30094.1.</w:t>
      </w:r>
    </w:p>
    <w:p w14:paraId="6244B10E" w14:textId="77777777" w:rsidR="00B53ECC" w:rsidRPr="00B53ECC" w:rsidRDefault="00B53ECC" w:rsidP="00DF4FBF">
      <w:pPr>
        <w:ind w:left="720" w:hanging="720"/>
        <w:rPr>
          <w:szCs w:val="24"/>
        </w:rPr>
      </w:pPr>
    </w:p>
    <w:p w14:paraId="00494147" w14:textId="0786F3CC" w:rsidR="00B53ECC" w:rsidRPr="00B53ECC" w:rsidRDefault="00B53ECC" w:rsidP="00DF4FBF">
      <w:pPr>
        <w:ind w:left="720" w:hanging="720"/>
        <w:rPr>
          <w:szCs w:val="24"/>
        </w:rPr>
      </w:pPr>
      <w:r w:rsidRPr="00B53ECC">
        <w:rPr>
          <w:szCs w:val="24"/>
        </w:rPr>
        <w:t>Dehler, C., Gehrels, G., Porter, S., Heizler, M., Karlstrom, K., Cox, G., Crossey, L., and Timmons, M., 2017, Synthesis of the 780-740 ma chuar, Uinta Mountain, and Pahrump (ChUMP) groups, western USA: Implications for laurentia-wide cratonic marine basins: Geological Society of America</w:t>
      </w:r>
      <w:r w:rsidR="00345DF4">
        <w:rPr>
          <w:szCs w:val="24"/>
        </w:rPr>
        <w:t xml:space="preserve"> Bulletin</w:t>
      </w:r>
      <w:r w:rsidRPr="00B53ECC">
        <w:rPr>
          <w:szCs w:val="24"/>
        </w:rPr>
        <w:t>, v. 129, p. 607–624, doi:10.1130/B31532.1.</w:t>
      </w:r>
    </w:p>
    <w:p w14:paraId="1559F672" w14:textId="77777777" w:rsidR="00B53ECC" w:rsidRPr="00B53ECC" w:rsidRDefault="00B53ECC" w:rsidP="00DF4FBF">
      <w:pPr>
        <w:ind w:left="720" w:hanging="720"/>
        <w:rPr>
          <w:szCs w:val="24"/>
        </w:rPr>
      </w:pPr>
    </w:p>
    <w:p w14:paraId="375028FD" w14:textId="77777777" w:rsidR="00B53ECC" w:rsidRPr="00B53ECC" w:rsidRDefault="00B53ECC" w:rsidP="00DF4FBF">
      <w:pPr>
        <w:ind w:left="720" w:hanging="720"/>
        <w:rPr>
          <w:szCs w:val="24"/>
        </w:rPr>
      </w:pPr>
      <w:r w:rsidRPr="00B53ECC">
        <w:rPr>
          <w:szCs w:val="24"/>
        </w:rPr>
        <w:t>Dickinson, W.R., and Gehrels, G.E., 2009, Use of U-Pb ages of detrital zircons to infer maximum depositional ages of strata: A test against a Colorado Plateau Mesozoic database: Earth and Planetary Science Letters, v. 288, p. 115–125, doi:10.1016/j.epsl.2009.09.013.</w:t>
      </w:r>
    </w:p>
    <w:p w14:paraId="19415540" w14:textId="77777777" w:rsidR="00B53ECC" w:rsidRPr="00B53ECC" w:rsidRDefault="00B53ECC" w:rsidP="00DF4FBF">
      <w:pPr>
        <w:ind w:left="720" w:hanging="720"/>
        <w:rPr>
          <w:szCs w:val="24"/>
        </w:rPr>
      </w:pPr>
    </w:p>
    <w:p w14:paraId="7A702E0C" w14:textId="77777777" w:rsidR="00B53ECC" w:rsidRPr="00B53ECC" w:rsidRDefault="00B53ECC" w:rsidP="00DF4FBF">
      <w:pPr>
        <w:ind w:left="720" w:hanging="720"/>
        <w:rPr>
          <w:szCs w:val="24"/>
        </w:rPr>
      </w:pPr>
      <w:r w:rsidRPr="00B53ECC">
        <w:rPr>
          <w:szCs w:val="24"/>
        </w:rPr>
        <w:t xml:space="preserve">Evans, J.G., 1987, Geology of the Stensgar Mountain Quadrangle, Stevens County, Washington: U.S. Geological Survey Bulletin 1679, 30 p.  </w:t>
      </w:r>
    </w:p>
    <w:p w14:paraId="3CA36C3C" w14:textId="77777777" w:rsidR="00B53ECC" w:rsidRPr="00B53ECC" w:rsidRDefault="00B53ECC" w:rsidP="00DF4FBF">
      <w:pPr>
        <w:ind w:left="720" w:hanging="720"/>
        <w:rPr>
          <w:szCs w:val="24"/>
        </w:rPr>
      </w:pPr>
    </w:p>
    <w:p w14:paraId="647C0699" w14:textId="77777777" w:rsidR="00B53ECC" w:rsidRPr="00B53ECC" w:rsidRDefault="00B53ECC" w:rsidP="00DF4FBF">
      <w:pPr>
        <w:ind w:left="720" w:hanging="720"/>
        <w:rPr>
          <w:szCs w:val="24"/>
        </w:rPr>
      </w:pPr>
      <w:r w:rsidRPr="00B53ECC">
        <w:rPr>
          <w:szCs w:val="24"/>
        </w:rPr>
        <w:t>Harlan, S.S., Heaman, L., LeCheminant, A.N., and Premo, W.R., 2003, Gunbarrel mafic magmatic event: A key 780 Ma time marker for Rodinia plate reconstructions: Geology, v. 31, p. 1053–1056, doi:10.1130/G19944.1.</w:t>
      </w:r>
    </w:p>
    <w:p w14:paraId="0515FC65" w14:textId="77777777" w:rsidR="00B53ECC" w:rsidRPr="00B53ECC" w:rsidRDefault="00B53ECC" w:rsidP="00DF4FBF">
      <w:pPr>
        <w:ind w:left="720" w:hanging="720"/>
        <w:rPr>
          <w:szCs w:val="24"/>
        </w:rPr>
      </w:pPr>
    </w:p>
    <w:p w14:paraId="378055E1" w14:textId="77777777" w:rsidR="00B53ECC" w:rsidRPr="00B53ECC" w:rsidRDefault="00B53ECC" w:rsidP="00DF4FBF">
      <w:pPr>
        <w:ind w:left="720" w:hanging="720"/>
        <w:rPr>
          <w:szCs w:val="24"/>
        </w:rPr>
      </w:pPr>
      <w:r w:rsidRPr="00B53ECC">
        <w:rPr>
          <w:szCs w:val="24"/>
        </w:rPr>
        <w:t>Heaman L.M., 2009, The application of U-Pb geochronology to mafic, ultramaficand alkaline rocks: An evaluation of three mineral standards: Chemical Geology, no. 261, p. 43–52.</w:t>
      </w:r>
    </w:p>
    <w:p w14:paraId="516B7280" w14:textId="77777777" w:rsidR="00B53ECC" w:rsidRPr="00B53ECC" w:rsidRDefault="00B53ECC" w:rsidP="00DF4FBF">
      <w:pPr>
        <w:ind w:left="720" w:hanging="720"/>
        <w:rPr>
          <w:szCs w:val="24"/>
        </w:rPr>
      </w:pPr>
    </w:p>
    <w:p w14:paraId="22148992" w14:textId="77777777" w:rsidR="00B53ECC" w:rsidRPr="00B53ECC" w:rsidRDefault="00B53ECC" w:rsidP="00DF4FBF">
      <w:pPr>
        <w:ind w:left="720" w:hanging="720"/>
        <w:rPr>
          <w:szCs w:val="24"/>
        </w:rPr>
      </w:pPr>
      <w:r w:rsidRPr="00B53ECC">
        <w:rPr>
          <w:szCs w:val="24"/>
        </w:rPr>
        <w:t>Jackson, S.E., Pearson, N.J., Griffin, W.L. and Belousova, E.A., 2004. The application of laser ablation-inductively coupled-mass spectrometry to in situ U-Pb zircon geochronology. Chemical Geology, no. 211, p. 47-69.</w:t>
      </w:r>
    </w:p>
    <w:p w14:paraId="08EE5D31" w14:textId="77777777" w:rsidR="00B53ECC" w:rsidRPr="00B53ECC" w:rsidRDefault="00B53ECC" w:rsidP="00DF4FBF">
      <w:pPr>
        <w:ind w:left="720" w:hanging="720"/>
        <w:rPr>
          <w:szCs w:val="24"/>
        </w:rPr>
      </w:pPr>
    </w:p>
    <w:p w14:paraId="3B79C84A" w14:textId="77777777" w:rsidR="00B53ECC" w:rsidRPr="00B53ECC" w:rsidRDefault="00B53ECC" w:rsidP="00DF4FBF">
      <w:pPr>
        <w:ind w:left="720" w:hanging="720"/>
        <w:rPr>
          <w:szCs w:val="24"/>
        </w:rPr>
      </w:pPr>
      <w:r w:rsidRPr="00B53ECC">
        <w:rPr>
          <w:szCs w:val="24"/>
        </w:rPr>
        <w:t xml:space="preserve">Kemp, A.I.S., Vervoort, J.D., Bjorkman, K. and Iaccheri, L.M., 2017. Hafnium isotope characteristics of Palaeoarchaean zircon OG1/PGC from the Owens Gully Diorite, </w:t>
      </w:r>
      <w:r w:rsidRPr="00B53ECC">
        <w:rPr>
          <w:szCs w:val="24"/>
        </w:rPr>
        <w:lastRenderedPageBreak/>
        <w:t>Pilbara Craton, Western Australia. Geostandards and Geoanalytical researach. doi: 10.1111/ggr.12182</w:t>
      </w:r>
    </w:p>
    <w:p w14:paraId="4A058E28" w14:textId="77777777" w:rsidR="00B53ECC" w:rsidRPr="00B53ECC" w:rsidRDefault="00B53ECC" w:rsidP="00DF4FBF">
      <w:pPr>
        <w:ind w:left="720" w:hanging="720"/>
        <w:rPr>
          <w:szCs w:val="24"/>
        </w:rPr>
      </w:pPr>
    </w:p>
    <w:p w14:paraId="522B751D" w14:textId="77777777" w:rsidR="00B53ECC" w:rsidRPr="00B53ECC" w:rsidRDefault="00B53ECC" w:rsidP="00DF4FBF">
      <w:pPr>
        <w:ind w:left="720" w:hanging="720"/>
        <w:rPr>
          <w:szCs w:val="24"/>
        </w:rPr>
      </w:pPr>
      <w:r w:rsidRPr="00B53ECC">
        <w:rPr>
          <w:szCs w:val="24"/>
        </w:rPr>
        <w:t>Kingsbury-Stewart, E.M., Osterhout, S.L., Link, P.K., and Dehler, C.M., 2013, Sequence stratigraphy and formalization of the Middle Uinta Mountain Group (Neoproterozoic), central Uinta Mountains, Utah: A closer look at the western Laurentian Seaway at ca. 750Ma: Precambrian Research, v. 236, p. 65–84, doi:10.1016/j.precamres.2013.06.015.</w:t>
      </w:r>
    </w:p>
    <w:p w14:paraId="6838B88B" w14:textId="77777777" w:rsidR="00B53ECC" w:rsidRPr="00B53ECC" w:rsidRDefault="00B53ECC" w:rsidP="00DF4FBF">
      <w:pPr>
        <w:ind w:left="720" w:hanging="720"/>
        <w:rPr>
          <w:szCs w:val="24"/>
        </w:rPr>
      </w:pPr>
    </w:p>
    <w:p w14:paraId="630C929F" w14:textId="77777777" w:rsidR="00B53ECC" w:rsidRPr="00B53ECC" w:rsidRDefault="00B53ECC" w:rsidP="00DF4FBF">
      <w:pPr>
        <w:ind w:left="720" w:hanging="720"/>
        <w:rPr>
          <w:szCs w:val="24"/>
        </w:rPr>
      </w:pPr>
      <w:r w:rsidRPr="00B53ECC">
        <w:rPr>
          <w:szCs w:val="24"/>
        </w:rPr>
        <w:t>Klaus Peter Jochum, Uwe Nohl, Kirstin Herwig, Esin Lammel, Brigitte Stoll, and Albrecht W. Hofmann, 2005, GeoReM: A New Geochemical Database for Reference Materials and Isotopic Standards. Geostandards and Geoanalytical Research. v. 29, no. 3, p. 333-338.</w:t>
      </w:r>
    </w:p>
    <w:p w14:paraId="7461CDB4" w14:textId="77777777" w:rsidR="00B53ECC" w:rsidRPr="00B53ECC" w:rsidRDefault="00B53ECC" w:rsidP="00DF4FBF">
      <w:pPr>
        <w:ind w:left="720" w:hanging="720"/>
        <w:rPr>
          <w:szCs w:val="24"/>
        </w:rPr>
      </w:pPr>
    </w:p>
    <w:p w14:paraId="671D5A77" w14:textId="77777777" w:rsidR="00B53ECC" w:rsidRPr="00B53ECC" w:rsidRDefault="00B53ECC" w:rsidP="00DF4FBF">
      <w:pPr>
        <w:ind w:left="720" w:hanging="720"/>
        <w:rPr>
          <w:szCs w:val="24"/>
        </w:rPr>
      </w:pPr>
      <w:r w:rsidRPr="00B53ECC">
        <w:rPr>
          <w:szCs w:val="24"/>
        </w:rPr>
        <w:t>Liu et al., 2010, Reappraisement and refinement of zircon U-Pb isotope and trace element analyses by LA-ICP-MS: Chinese Science Bulletin, v. 55, no. 15, p. 1535-1546.</w:t>
      </w:r>
    </w:p>
    <w:p w14:paraId="6C246C9B" w14:textId="77777777" w:rsidR="00B53ECC" w:rsidRPr="00B53ECC" w:rsidRDefault="00B53ECC" w:rsidP="00DF4FBF">
      <w:pPr>
        <w:ind w:left="720" w:hanging="720"/>
        <w:rPr>
          <w:szCs w:val="24"/>
        </w:rPr>
      </w:pPr>
    </w:p>
    <w:p w14:paraId="4C676D4B" w14:textId="77777777" w:rsidR="00B53ECC" w:rsidRPr="00B53ECC" w:rsidRDefault="00B53ECC" w:rsidP="00DF4FBF">
      <w:pPr>
        <w:ind w:left="720" w:hanging="720"/>
        <w:rPr>
          <w:szCs w:val="24"/>
        </w:rPr>
      </w:pPr>
      <w:r w:rsidRPr="00B53ECC">
        <w:rPr>
          <w:szCs w:val="24"/>
        </w:rPr>
        <w:t>Ludwig, K.R., 1998, On the treatment of concordant uranium-lead ages. Geochim. Cosmochim. Acta v. 62, no. 4, p. 665-676</w:t>
      </w:r>
    </w:p>
    <w:p w14:paraId="36D8C12B" w14:textId="77777777" w:rsidR="00B53ECC" w:rsidRPr="00B53ECC" w:rsidRDefault="00B53ECC" w:rsidP="00DF4FBF">
      <w:pPr>
        <w:ind w:left="720" w:hanging="720"/>
        <w:rPr>
          <w:szCs w:val="24"/>
        </w:rPr>
      </w:pPr>
    </w:p>
    <w:p w14:paraId="3477702E" w14:textId="77777777" w:rsidR="00B53ECC" w:rsidRPr="00B53ECC" w:rsidRDefault="00B53ECC" w:rsidP="00DF4FBF">
      <w:pPr>
        <w:ind w:left="720" w:hanging="720"/>
        <w:rPr>
          <w:szCs w:val="24"/>
        </w:rPr>
      </w:pPr>
      <w:r w:rsidRPr="00B53ECC">
        <w:rPr>
          <w:szCs w:val="24"/>
        </w:rPr>
        <w:t>Luvizotto, G. and Zack, T., 2009, Nb and Zr behavior in rutile during high-grade metamorphism and retrogression: An example from the Ivrea-Verbano Zone: Chemical Geology, v. 261, no. 3-4, p. 303-317</w:t>
      </w:r>
    </w:p>
    <w:p w14:paraId="65175B37" w14:textId="77777777" w:rsidR="00B53ECC" w:rsidRPr="00B53ECC" w:rsidRDefault="00B53ECC" w:rsidP="00DF4FBF">
      <w:pPr>
        <w:ind w:left="720" w:hanging="720"/>
        <w:rPr>
          <w:szCs w:val="24"/>
        </w:rPr>
      </w:pPr>
    </w:p>
    <w:p w14:paraId="4C134A43" w14:textId="77777777" w:rsidR="00B53ECC" w:rsidRPr="00B53ECC" w:rsidRDefault="00B53ECC" w:rsidP="00DF4FBF">
      <w:pPr>
        <w:ind w:left="720" w:hanging="720"/>
        <w:rPr>
          <w:szCs w:val="24"/>
        </w:rPr>
      </w:pPr>
      <w:r w:rsidRPr="00B53ECC">
        <w:rPr>
          <w:szCs w:val="24"/>
        </w:rPr>
        <w:t>Macdonald, F.A., Schmitz, M.D., Crowley, J.L., Roots, C.F., Jones, D.S., Maloof, A.C., Strauss, J. V, Cohen, P.A., Johnston, D.T., and Schrag, D.P., 2010, Calibrating the Cryogenian: Science, v. 327, p. 1241–1244, doi:10.1126/science.1183325.</w:t>
      </w:r>
    </w:p>
    <w:p w14:paraId="1B14BACB" w14:textId="77777777" w:rsidR="00B53ECC" w:rsidRPr="00B53ECC" w:rsidRDefault="00B53ECC" w:rsidP="00DF4FBF">
      <w:pPr>
        <w:ind w:left="720" w:hanging="720"/>
        <w:rPr>
          <w:szCs w:val="24"/>
        </w:rPr>
      </w:pPr>
    </w:p>
    <w:p w14:paraId="054EB80B" w14:textId="77777777" w:rsidR="00B53ECC" w:rsidRPr="00B53ECC" w:rsidRDefault="00B53ECC" w:rsidP="00DF4FBF">
      <w:pPr>
        <w:ind w:left="720" w:hanging="720"/>
        <w:rPr>
          <w:szCs w:val="24"/>
        </w:rPr>
      </w:pPr>
      <w:r w:rsidRPr="00B53ECC">
        <w:rPr>
          <w:szCs w:val="24"/>
        </w:rPr>
        <w:t>Mahon, R.C., Dehler, C.M., Link, P.K., Karlstrom, K.E., and Gehrels, G.E., 2014, Detrital zircon provenance and paleogeography of the Pahrump Group and overlying strata, Death Valley, California: Precambrian Research, v. 251, p. 102–117, doi:10.1016/j.precamres.2014.06.005</w:t>
      </w:r>
    </w:p>
    <w:p w14:paraId="37F73D9C" w14:textId="77777777" w:rsidR="00B53ECC" w:rsidRPr="00B53ECC" w:rsidRDefault="00B53ECC" w:rsidP="00DF4FBF">
      <w:pPr>
        <w:ind w:left="720" w:hanging="720"/>
        <w:rPr>
          <w:szCs w:val="24"/>
        </w:rPr>
      </w:pPr>
    </w:p>
    <w:p w14:paraId="23036BAE" w14:textId="77777777" w:rsidR="00B53ECC" w:rsidRPr="00B53ECC" w:rsidRDefault="00B53ECC" w:rsidP="00DF4FBF">
      <w:pPr>
        <w:ind w:left="720" w:hanging="720"/>
        <w:rPr>
          <w:szCs w:val="24"/>
        </w:rPr>
      </w:pPr>
      <w:r w:rsidRPr="00B53ECC">
        <w:rPr>
          <w:szCs w:val="24"/>
        </w:rPr>
        <w:t xml:space="preserve">Miller, F.K., 1996, Geologic map of the Empey Mountain area, Stevens County, Washington: U.S. Geological Survey Miscellaneous Investigation Series I-2492, scale 1:48,000. </w:t>
      </w:r>
    </w:p>
    <w:p w14:paraId="5546BC2A" w14:textId="77777777" w:rsidR="00B53ECC" w:rsidRPr="00B53ECC" w:rsidRDefault="00B53ECC" w:rsidP="00DF4FBF">
      <w:pPr>
        <w:ind w:left="720" w:hanging="720"/>
        <w:rPr>
          <w:szCs w:val="24"/>
        </w:rPr>
      </w:pPr>
    </w:p>
    <w:p w14:paraId="15AD7BD1" w14:textId="77777777" w:rsidR="00B53ECC" w:rsidRPr="00B53ECC" w:rsidRDefault="00B53ECC" w:rsidP="00DF4FBF">
      <w:pPr>
        <w:ind w:left="720" w:hanging="720"/>
        <w:rPr>
          <w:szCs w:val="24"/>
        </w:rPr>
      </w:pPr>
      <w:r w:rsidRPr="00B53ECC">
        <w:rPr>
          <w:szCs w:val="24"/>
        </w:rPr>
        <w:t>Miller, F. K., &amp; Whipple, J. W., 1989,  The Deer Trail Group: Is it part of the Belt Supergroup? In Joseph, N.L. et al., (Eds), Geologic Guidebook for Washington and adjacent areas: Washington Division of Geology and Earth Resources Information Circular no. 86.</w:t>
      </w:r>
    </w:p>
    <w:p w14:paraId="3B73AB43" w14:textId="77777777" w:rsidR="00B53ECC" w:rsidRPr="00B53ECC" w:rsidRDefault="00B53ECC" w:rsidP="00DF4FBF">
      <w:pPr>
        <w:ind w:left="720" w:hanging="720"/>
        <w:rPr>
          <w:szCs w:val="24"/>
        </w:rPr>
      </w:pPr>
    </w:p>
    <w:p w14:paraId="5F7DF4DE" w14:textId="77777777" w:rsidR="00B53ECC" w:rsidRPr="00B53ECC" w:rsidRDefault="00B53ECC" w:rsidP="00DF4FBF">
      <w:pPr>
        <w:ind w:left="720" w:hanging="720"/>
        <w:rPr>
          <w:szCs w:val="24"/>
        </w:rPr>
      </w:pPr>
      <w:r w:rsidRPr="00B53ECC">
        <w:rPr>
          <w:szCs w:val="24"/>
        </w:rPr>
        <w:t>Morel, M.L.A., Nebel, O., Nebel-Jacobsen, Y.J., Miller, J.S. and Vroon, P.Z. 2008. Hafnium isotope characterisation of the GJ-1 zircon reference material by solution and laser-ablation MC-ICPMS. Chemical Geology, no. 255, p. 231-235.</w:t>
      </w:r>
    </w:p>
    <w:p w14:paraId="7E27C615" w14:textId="77777777" w:rsidR="00B53ECC" w:rsidRPr="00B53ECC" w:rsidRDefault="00B53ECC" w:rsidP="00DF4FBF">
      <w:pPr>
        <w:ind w:left="720" w:hanging="720"/>
        <w:rPr>
          <w:szCs w:val="24"/>
        </w:rPr>
      </w:pPr>
    </w:p>
    <w:p w14:paraId="56E700E0" w14:textId="77777777" w:rsidR="00B53ECC" w:rsidRPr="00B53ECC" w:rsidRDefault="00B53ECC" w:rsidP="00DF4FBF">
      <w:pPr>
        <w:ind w:left="720" w:hanging="720"/>
        <w:rPr>
          <w:szCs w:val="24"/>
        </w:rPr>
      </w:pPr>
      <w:r w:rsidRPr="00B53ECC">
        <w:rPr>
          <w:szCs w:val="24"/>
        </w:rPr>
        <w:lastRenderedPageBreak/>
        <w:t>Neal, J., and Abreu, V., 2009, Sequence stratigraphy hierarchy and the accommodation succession method: Geology, v. 37, p. 779–782, doi:10.1130/G25722A.1.</w:t>
      </w:r>
    </w:p>
    <w:p w14:paraId="771964EB" w14:textId="77777777" w:rsidR="00B53ECC" w:rsidRPr="00B53ECC" w:rsidRDefault="00B53ECC" w:rsidP="00DF4FBF">
      <w:pPr>
        <w:ind w:left="720" w:hanging="720"/>
        <w:rPr>
          <w:szCs w:val="24"/>
        </w:rPr>
      </w:pPr>
    </w:p>
    <w:p w14:paraId="24417985" w14:textId="77777777" w:rsidR="00B53ECC" w:rsidRPr="00B53ECC" w:rsidRDefault="00B53ECC" w:rsidP="00DF4FBF">
      <w:pPr>
        <w:ind w:left="720" w:hanging="720"/>
        <w:rPr>
          <w:szCs w:val="24"/>
        </w:rPr>
      </w:pPr>
      <w:r w:rsidRPr="00B53ECC">
        <w:rPr>
          <w:szCs w:val="24"/>
        </w:rPr>
        <w:t>Patchett, P. J., and Tatsumoto, M., 1980, Hafnium isotope variations in oceanic basalts: Geophysical Research Letters, v. 7, no. 12, p. 1077-1080.</w:t>
      </w:r>
    </w:p>
    <w:p w14:paraId="7EDF9763" w14:textId="77777777" w:rsidR="00B53ECC" w:rsidRPr="00B53ECC" w:rsidRDefault="00B53ECC" w:rsidP="00DF4FBF">
      <w:pPr>
        <w:ind w:left="720" w:hanging="720"/>
        <w:rPr>
          <w:szCs w:val="24"/>
        </w:rPr>
      </w:pPr>
    </w:p>
    <w:p w14:paraId="62BFBA62" w14:textId="77777777" w:rsidR="00B53ECC" w:rsidRPr="00B53ECC" w:rsidRDefault="00B53ECC" w:rsidP="00DF4FBF">
      <w:pPr>
        <w:ind w:left="720" w:hanging="720"/>
        <w:rPr>
          <w:szCs w:val="24"/>
        </w:rPr>
      </w:pPr>
      <w:r w:rsidRPr="00B53ECC">
        <w:rPr>
          <w:szCs w:val="24"/>
        </w:rPr>
        <w:t>Paton, C., Hellstrom, J., Paul, B., Woodhead, J. and Hergt, J. 2011. Iolite: freeware for the visualization and processing of mass spectrometer data.  Journal of Analytical Atomic Spectrometry, no. 26, p. 2508-2518.</w:t>
      </w:r>
    </w:p>
    <w:p w14:paraId="705E2088" w14:textId="77777777" w:rsidR="00B53ECC" w:rsidRPr="00B53ECC" w:rsidRDefault="00B53ECC" w:rsidP="00DF4FBF">
      <w:pPr>
        <w:ind w:left="720" w:hanging="720"/>
        <w:rPr>
          <w:szCs w:val="24"/>
        </w:rPr>
      </w:pPr>
    </w:p>
    <w:p w14:paraId="661306ED" w14:textId="77777777" w:rsidR="00B53ECC" w:rsidRPr="00B53ECC" w:rsidRDefault="00B53ECC" w:rsidP="00DF4FBF">
      <w:pPr>
        <w:ind w:left="720" w:hanging="720"/>
        <w:rPr>
          <w:szCs w:val="24"/>
        </w:rPr>
      </w:pPr>
      <w:r w:rsidRPr="00B53ECC">
        <w:rPr>
          <w:szCs w:val="24"/>
        </w:rPr>
        <w:t>Scherer, E., Munker, C., Mezger, K., 2001, Calibration of the Lutetium-Hafnium clock. Science, no. 293, p. 683-687.</w:t>
      </w:r>
    </w:p>
    <w:p w14:paraId="02FDA651" w14:textId="77777777" w:rsidR="00B53ECC" w:rsidRPr="00B53ECC" w:rsidRDefault="00B53ECC" w:rsidP="00DF4FBF">
      <w:pPr>
        <w:ind w:left="720" w:hanging="720"/>
        <w:rPr>
          <w:szCs w:val="24"/>
        </w:rPr>
      </w:pPr>
    </w:p>
    <w:p w14:paraId="57E21A56" w14:textId="77777777" w:rsidR="00B53ECC" w:rsidRPr="00B53ECC" w:rsidRDefault="00B53ECC" w:rsidP="00DF4FBF">
      <w:pPr>
        <w:ind w:left="720" w:hanging="720"/>
        <w:rPr>
          <w:szCs w:val="24"/>
        </w:rPr>
      </w:pPr>
      <w:r w:rsidRPr="00B53ECC">
        <w:rPr>
          <w:szCs w:val="24"/>
        </w:rPr>
        <w:t>Schmitz, M., Bowring, S. A., and Ireland, T. R., 2003, Evaluation of Duluth Complex anorthositic series (AS3) zircon as a U–Pb geochronological standard: New high‐precision isotope dilution thermal ionization mass spectrometry results: Geochimica et Cosmochimica Acta, v. 67, p. 3665–3672.</w:t>
      </w:r>
    </w:p>
    <w:p w14:paraId="181935D4" w14:textId="77777777" w:rsidR="00B53ECC" w:rsidRPr="00B53ECC" w:rsidRDefault="00B53ECC" w:rsidP="00DF4FBF">
      <w:pPr>
        <w:ind w:left="720" w:hanging="720"/>
        <w:rPr>
          <w:szCs w:val="24"/>
        </w:rPr>
      </w:pPr>
    </w:p>
    <w:p w14:paraId="1A32D5AB" w14:textId="77777777" w:rsidR="00B53ECC" w:rsidRPr="00B53ECC" w:rsidRDefault="00B53ECC" w:rsidP="00DF4FBF">
      <w:pPr>
        <w:ind w:left="720" w:hanging="720"/>
        <w:rPr>
          <w:szCs w:val="24"/>
        </w:rPr>
      </w:pPr>
      <w:r w:rsidRPr="00B53ECC">
        <w:rPr>
          <w:szCs w:val="24"/>
        </w:rPr>
        <w:t>Schoene, B., Bowring, S.A. 2006, U–Pb systematics of the McClure Mountain syenite: thermochronological constraints on the age of the 40Ar/39Ar standard MMhb: Contrib. Mineral. Petrol., v. 151, no. 5, p. 615-630.</w:t>
      </w:r>
    </w:p>
    <w:p w14:paraId="2B3BB7D2" w14:textId="77777777" w:rsidR="00B53ECC" w:rsidRPr="00B53ECC" w:rsidRDefault="00B53ECC" w:rsidP="00DF4FBF">
      <w:pPr>
        <w:ind w:left="720" w:hanging="720"/>
        <w:rPr>
          <w:szCs w:val="24"/>
        </w:rPr>
      </w:pPr>
    </w:p>
    <w:p w14:paraId="2D07BDB2" w14:textId="77777777" w:rsidR="00B53ECC" w:rsidRPr="00B53ECC" w:rsidRDefault="00B53ECC" w:rsidP="00DF4FBF">
      <w:pPr>
        <w:ind w:left="720" w:hanging="720"/>
        <w:rPr>
          <w:szCs w:val="24"/>
        </w:rPr>
      </w:pPr>
      <w:r w:rsidRPr="00B53ECC">
        <w:rPr>
          <w:szCs w:val="24"/>
        </w:rPr>
        <w:t xml:space="preserve">Sláma, J., Košler, J., Condon, D.J., Crowley, J.L., Gerdes, A., Hanchar, J.M., Horstwood, M.S.A., Morris, G.A., Nasdala, L., Norberg, N., Schaltegger, U., Schoene, B., Tubrett, M.N. and Whitehouse, M.J. 2008.  Plesovice zircon – A new natural reference material for U-Pb and Hf isotopic microanalysis. Chemical Geology v. 249, p. 1-35. </w:t>
      </w:r>
    </w:p>
    <w:p w14:paraId="1D05174E" w14:textId="77777777" w:rsidR="00B53ECC" w:rsidRPr="00B53ECC" w:rsidRDefault="00B53ECC" w:rsidP="00DF4FBF">
      <w:pPr>
        <w:ind w:left="720" w:hanging="720"/>
        <w:rPr>
          <w:szCs w:val="24"/>
        </w:rPr>
      </w:pPr>
    </w:p>
    <w:p w14:paraId="675BC34E" w14:textId="77777777" w:rsidR="00B53ECC" w:rsidRPr="00B53ECC" w:rsidRDefault="00B53ECC" w:rsidP="00DF4FBF">
      <w:pPr>
        <w:ind w:left="720" w:hanging="720"/>
        <w:rPr>
          <w:szCs w:val="24"/>
        </w:rPr>
      </w:pPr>
      <w:r w:rsidRPr="00B53ECC">
        <w:rPr>
          <w:szCs w:val="24"/>
        </w:rPr>
        <w:t>Spandler et al., 2016, MKED1: A new titanite standard for in situ analysis of Sm–Nd isotopes and U–Pb geochronology. Chemical Geology no. 425, p. 110-126.</w:t>
      </w:r>
    </w:p>
    <w:p w14:paraId="46607B7A" w14:textId="77777777" w:rsidR="00B53ECC" w:rsidRPr="00B53ECC" w:rsidRDefault="00B53ECC" w:rsidP="00DF4FBF">
      <w:pPr>
        <w:ind w:left="720" w:hanging="720"/>
        <w:rPr>
          <w:szCs w:val="24"/>
        </w:rPr>
      </w:pPr>
    </w:p>
    <w:p w14:paraId="7E6DBF9F" w14:textId="77777777" w:rsidR="00B53ECC" w:rsidRPr="00B53ECC" w:rsidRDefault="00B53ECC" w:rsidP="00DF4FBF">
      <w:pPr>
        <w:ind w:left="720" w:hanging="720"/>
        <w:rPr>
          <w:szCs w:val="24"/>
        </w:rPr>
      </w:pPr>
      <w:r w:rsidRPr="00B53ECC">
        <w:rPr>
          <w:szCs w:val="24"/>
        </w:rPr>
        <w:t>Spencer, C.J., Hoiland, C.W., Harris, R.A., Link, P.K., and Balgord, E.A., 2012, Constraining the timing and provenance of the Neoproterozoic Little Willow and Big Cottonwood Formations, Utah: Expanding the sedimentary record for early rifting of Rodinia: Precambrian Research, v. 204–205, p. 57–65, doi:10.1016/j.precamres.2012.02.009.</w:t>
      </w:r>
    </w:p>
    <w:p w14:paraId="535D41D4" w14:textId="77777777" w:rsidR="00B53ECC" w:rsidRPr="00B53ECC" w:rsidRDefault="00B53ECC" w:rsidP="00DF4FBF">
      <w:pPr>
        <w:ind w:left="720" w:hanging="720"/>
        <w:rPr>
          <w:szCs w:val="24"/>
        </w:rPr>
      </w:pPr>
    </w:p>
    <w:p w14:paraId="3BB340A7" w14:textId="77777777" w:rsidR="00B53ECC" w:rsidRPr="00B53ECC" w:rsidRDefault="00B53ECC" w:rsidP="00DF4FBF">
      <w:pPr>
        <w:ind w:left="720" w:hanging="720"/>
        <w:rPr>
          <w:szCs w:val="24"/>
        </w:rPr>
      </w:pPr>
      <w:r w:rsidRPr="00B53ECC">
        <w:rPr>
          <w:szCs w:val="24"/>
        </w:rPr>
        <w:t>Stacey, J.S. and Kramers, J.D., 1975, Approximation of terrestrial lead isotope evolution by a two-stage model: Earth and Planetary Science Letters, v. 26, no. 2, p. 207-221.</w:t>
      </w:r>
    </w:p>
    <w:p w14:paraId="66C409F4" w14:textId="77777777" w:rsidR="00B53ECC" w:rsidRPr="00B53ECC" w:rsidRDefault="00B53ECC" w:rsidP="00DF4FBF">
      <w:pPr>
        <w:ind w:left="720" w:hanging="720"/>
        <w:rPr>
          <w:szCs w:val="24"/>
        </w:rPr>
      </w:pPr>
    </w:p>
    <w:p w14:paraId="09BEB3D4" w14:textId="77777777" w:rsidR="00B53ECC" w:rsidRPr="00B53ECC" w:rsidRDefault="00B53ECC" w:rsidP="00DF4FBF">
      <w:pPr>
        <w:ind w:left="720" w:hanging="720"/>
        <w:rPr>
          <w:szCs w:val="24"/>
        </w:rPr>
      </w:pPr>
      <w:r w:rsidRPr="00B53ECC">
        <w:rPr>
          <w:szCs w:val="24"/>
        </w:rPr>
        <w:t>Stern, R.A., Bodorkos, S., Kamo, S.L., Hickman, A.H. and Corfu, F. 2009. Measurement of SIMS instrumental mass fractionation of Pb isotopes during zircon dating. Geostandards and Geoanalytical Research, v. 33, p. 145-168.</w:t>
      </w:r>
    </w:p>
    <w:p w14:paraId="74058BDA" w14:textId="77777777" w:rsidR="00B53ECC" w:rsidRPr="00B53ECC" w:rsidRDefault="00B53ECC" w:rsidP="00DF4FBF">
      <w:pPr>
        <w:ind w:left="720" w:hanging="720"/>
        <w:rPr>
          <w:szCs w:val="24"/>
        </w:rPr>
      </w:pPr>
    </w:p>
    <w:p w14:paraId="13D3211C" w14:textId="77777777" w:rsidR="00B53ECC" w:rsidRPr="00B53ECC" w:rsidRDefault="00B53ECC" w:rsidP="00DF4FBF">
      <w:pPr>
        <w:ind w:left="720" w:hanging="720"/>
        <w:rPr>
          <w:szCs w:val="24"/>
        </w:rPr>
      </w:pPr>
      <w:r w:rsidRPr="00B53ECC">
        <w:rPr>
          <w:szCs w:val="24"/>
        </w:rPr>
        <w:lastRenderedPageBreak/>
        <w:t>Thomas, W.A., Gehrels, G.E., Greb, S.F., Nadon, G.C., Satkoski, A.M., and Romero, M.C., 2017, Detrital zircons and sediment dispersal in the Appalachian foreland: Geosphere, v. 13, no. 6, p. 2206–2230, https://doi.org/ 10.1130/GES01525.1.</w:t>
      </w:r>
    </w:p>
    <w:p w14:paraId="25A9ECD7" w14:textId="77777777" w:rsidR="00B53ECC" w:rsidRPr="00B53ECC" w:rsidRDefault="00B53ECC" w:rsidP="00DF4FBF">
      <w:pPr>
        <w:ind w:left="720" w:hanging="720"/>
        <w:rPr>
          <w:szCs w:val="24"/>
        </w:rPr>
      </w:pPr>
    </w:p>
    <w:p w14:paraId="02EFBA64" w14:textId="77777777" w:rsidR="00B53ECC" w:rsidRPr="00B53ECC" w:rsidRDefault="00B53ECC" w:rsidP="00DF4FBF">
      <w:pPr>
        <w:ind w:left="720" w:hanging="720"/>
        <w:rPr>
          <w:szCs w:val="24"/>
        </w:rPr>
      </w:pPr>
      <w:r w:rsidRPr="00B53ECC">
        <w:rPr>
          <w:szCs w:val="24"/>
        </w:rPr>
        <w:t>Thomson S.N., Gehrels G.E., Ruiz J., Buchwaldt R., 2012, Routine low-damage apatite U–Pb dating using laser ablation-multicollector-ICPMS. Geochem. Geophys. Geosyst., v. 13</w:t>
      </w:r>
    </w:p>
    <w:p w14:paraId="41CE5057" w14:textId="77777777" w:rsidR="00B53ECC" w:rsidRPr="00B53ECC" w:rsidRDefault="00B53ECC" w:rsidP="00DF4FBF">
      <w:pPr>
        <w:ind w:left="720" w:hanging="720"/>
        <w:rPr>
          <w:szCs w:val="24"/>
        </w:rPr>
      </w:pPr>
    </w:p>
    <w:p w14:paraId="22ECF46C" w14:textId="49D1A535" w:rsidR="00B53ECC" w:rsidRDefault="00B53ECC" w:rsidP="00DF4FBF">
      <w:pPr>
        <w:ind w:left="720" w:hanging="720"/>
        <w:rPr>
          <w:szCs w:val="24"/>
        </w:rPr>
      </w:pPr>
      <w:r w:rsidRPr="00B53ECC">
        <w:rPr>
          <w:szCs w:val="24"/>
        </w:rPr>
        <w:t>Thirlwall, M., and Anczkiewicz, R., 2004, Multidynamic isotope ratio analysis using MC–ICP–MS and the causes of secular drift in Hf, Nd and Pb isotope ratios: International Journal of Mass Spectrometry, v. 235, no. 1, p. 59-81.</w:t>
      </w:r>
    </w:p>
    <w:p w14:paraId="0ABBB6B4" w14:textId="77777777" w:rsidR="00A51950" w:rsidRPr="00B53ECC" w:rsidRDefault="00A51950" w:rsidP="00DF4FBF">
      <w:pPr>
        <w:ind w:left="720" w:hanging="720"/>
        <w:rPr>
          <w:szCs w:val="24"/>
        </w:rPr>
      </w:pPr>
    </w:p>
    <w:p w14:paraId="7769A368" w14:textId="7226069C" w:rsidR="00B53ECC" w:rsidRDefault="00B53ECC" w:rsidP="00DF4FBF">
      <w:pPr>
        <w:ind w:left="720" w:hanging="720"/>
        <w:rPr>
          <w:szCs w:val="24"/>
        </w:rPr>
      </w:pPr>
      <w:r w:rsidRPr="00B53ECC">
        <w:rPr>
          <w:szCs w:val="24"/>
        </w:rPr>
        <w:t>Vermeesch, P., 2012, On the visualisation of detrital age distributions: Chemical Geology, v. 312–313, p. 190–194, doi:10.1016/j.chemgeo.2012.04.021.</w:t>
      </w:r>
    </w:p>
    <w:p w14:paraId="37D87EC4" w14:textId="77777777" w:rsidR="00241D3D" w:rsidRPr="00B53ECC" w:rsidRDefault="00241D3D" w:rsidP="00DF4FBF">
      <w:pPr>
        <w:ind w:left="720" w:hanging="720"/>
        <w:rPr>
          <w:szCs w:val="24"/>
        </w:rPr>
      </w:pPr>
    </w:p>
    <w:p w14:paraId="2AAEB442" w14:textId="3E75FF33" w:rsidR="00B53ECC" w:rsidRDefault="00B53ECC" w:rsidP="00DF4FBF">
      <w:pPr>
        <w:ind w:left="720" w:hanging="720"/>
        <w:rPr>
          <w:szCs w:val="24"/>
        </w:rPr>
      </w:pPr>
      <w:r w:rsidRPr="00B53ECC">
        <w:rPr>
          <w:szCs w:val="24"/>
        </w:rPr>
        <w:t>Vermeesch P., 2018, IsoplotR: a free and open toolbox for geochronology: Geoscience Frontiers, no. 9, p. 1479-1493.</w:t>
      </w:r>
    </w:p>
    <w:p w14:paraId="4FCC1DC5" w14:textId="02F6BAB9" w:rsidR="00A51950" w:rsidRDefault="00A51950" w:rsidP="00DF4FBF">
      <w:pPr>
        <w:ind w:left="720" w:hanging="720"/>
        <w:rPr>
          <w:szCs w:val="24"/>
        </w:rPr>
      </w:pPr>
    </w:p>
    <w:p w14:paraId="4E660CD8" w14:textId="4C0AB223" w:rsidR="00A51950" w:rsidRDefault="00A51950" w:rsidP="00DF4FBF">
      <w:pPr>
        <w:ind w:left="720" w:hanging="720"/>
        <w:rPr>
          <w:szCs w:val="24"/>
        </w:rPr>
      </w:pPr>
      <w:r w:rsidRPr="00A51950">
        <w:rPr>
          <w:szCs w:val="24"/>
        </w:rPr>
        <w:t>Vermeesch, P., 2020, Maximum depositional age estimation revisited: Geoscience Frontiers, doi:10.1016/j.gsf.2020.08.008.</w:t>
      </w:r>
    </w:p>
    <w:p w14:paraId="1D62AFB1" w14:textId="77777777" w:rsidR="00A51950" w:rsidRPr="00B53ECC" w:rsidRDefault="00A51950" w:rsidP="00DF4FBF">
      <w:pPr>
        <w:ind w:left="720" w:hanging="720"/>
        <w:rPr>
          <w:szCs w:val="24"/>
        </w:rPr>
      </w:pPr>
    </w:p>
    <w:p w14:paraId="0B461BFA" w14:textId="77777777" w:rsidR="00B53ECC" w:rsidRPr="00B53ECC" w:rsidRDefault="00B53ECC" w:rsidP="00DF4FBF">
      <w:pPr>
        <w:ind w:left="720" w:hanging="720"/>
        <w:rPr>
          <w:szCs w:val="24"/>
        </w:rPr>
      </w:pPr>
      <w:r w:rsidRPr="00B53ECC">
        <w:rPr>
          <w:szCs w:val="24"/>
        </w:rPr>
        <w:t>Wiedenbeck, M., Alle, P., Corfu, F., Meier, M., Overli, F, Vod Quadt, A., Roddick, J.C. and Spiegel, W. 1995. Three natural zircon standards for U-Th-Pb, Lu-Hf, trace element and REE analysis. Geostandards Newsletter, p. 1-23.</w:t>
      </w:r>
    </w:p>
    <w:p w14:paraId="1BABEAB0" w14:textId="77777777" w:rsidR="00B53ECC" w:rsidRPr="00B53ECC" w:rsidRDefault="00B53ECC" w:rsidP="00DF4FBF">
      <w:pPr>
        <w:ind w:left="720" w:hanging="720"/>
        <w:rPr>
          <w:szCs w:val="24"/>
        </w:rPr>
      </w:pPr>
    </w:p>
    <w:p w14:paraId="2D572380" w14:textId="77777777" w:rsidR="00B53ECC" w:rsidRPr="00B53ECC" w:rsidRDefault="00B53ECC" w:rsidP="00DF4FBF">
      <w:pPr>
        <w:ind w:left="720" w:hanging="720"/>
        <w:rPr>
          <w:szCs w:val="24"/>
        </w:rPr>
      </w:pPr>
      <w:r w:rsidRPr="00B53ECC">
        <w:rPr>
          <w:szCs w:val="24"/>
        </w:rPr>
        <w:t>Woodhead, J., Hergt, J., Shelley, M., Eggins, S., and Kemp, R., 2004, Zircon Hf-isotope analysis analysis with an excimer laser, depth profiling, ablation of complex geometries and comcomitant age estimation. Chemical Geology, v. 209, p. 121-135.</w:t>
      </w:r>
    </w:p>
    <w:p w14:paraId="02F9BCDF" w14:textId="77777777" w:rsidR="00B53ECC" w:rsidRPr="00B53ECC" w:rsidRDefault="00B53ECC" w:rsidP="00DF4FBF">
      <w:pPr>
        <w:ind w:left="720" w:hanging="720"/>
        <w:rPr>
          <w:szCs w:val="24"/>
        </w:rPr>
      </w:pPr>
    </w:p>
    <w:p w14:paraId="41CF628C" w14:textId="77777777" w:rsidR="00B53ECC" w:rsidRPr="00B53ECC" w:rsidRDefault="00B53ECC" w:rsidP="00DF4FBF">
      <w:pPr>
        <w:ind w:left="720" w:hanging="720"/>
        <w:rPr>
          <w:szCs w:val="24"/>
        </w:rPr>
      </w:pPr>
      <w:r w:rsidRPr="00B53ECC">
        <w:rPr>
          <w:szCs w:val="24"/>
        </w:rPr>
        <w:t>Woodhead and Hergt, (2005) A preliminary appraisal of seven natural zircon reference materials for in situ Hf isotope determination. Geostandards and Geoanalytical Research, v. 29, p. 183-195.</w:t>
      </w:r>
    </w:p>
    <w:p w14:paraId="4C045CCB" w14:textId="77777777" w:rsidR="00B53ECC" w:rsidRPr="00B53ECC" w:rsidRDefault="00B53ECC" w:rsidP="00DF4FBF">
      <w:pPr>
        <w:ind w:left="720" w:hanging="720"/>
        <w:rPr>
          <w:szCs w:val="24"/>
        </w:rPr>
      </w:pPr>
    </w:p>
    <w:p w14:paraId="5E68B09C" w14:textId="77777777" w:rsidR="00B53ECC" w:rsidRPr="00B53ECC" w:rsidRDefault="00B53ECC" w:rsidP="00DF4FBF">
      <w:pPr>
        <w:ind w:left="720" w:hanging="720"/>
        <w:rPr>
          <w:szCs w:val="24"/>
        </w:rPr>
      </w:pPr>
      <w:r w:rsidRPr="00B53ECC">
        <w:rPr>
          <w:szCs w:val="24"/>
        </w:rPr>
        <w:t>Yonkee, W.A., Dehler, C.D., Link, P.K., Balgord, E.A., Keeley, J.A., Hayes, D.S., Wells, M.L., Fanning, C.M., and Johnston, S.M., 2014, Tectono-stratigraphic framework of Neoproterozoic to Cambrian strata, west-central U.S.: Protracted rifting, glaciation, and evolution of the North American Cordilleran margin: Earth-Science Reviews, v. 136, p. 59–95, doi:10.1016/j.earscirev.2014.05.004.</w:t>
      </w:r>
    </w:p>
    <w:p w14:paraId="714C3AD8" w14:textId="77777777" w:rsidR="00B53ECC" w:rsidRPr="00B53ECC" w:rsidRDefault="00B53ECC" w:rsidP="00DF4FBF">
      <w:pPr>
        <w:ind w:left="720" w:hanging="720"/>
        <w:rPr>
          <w:szCs w:val="24"/>
        </w:rPr>
      </w:pPr>
    </w:p>
    <w:p w14:paraId="147A5912" w14:textId="77777777" w:rsidR="00B53ECC" w:rsidRPr="00B53ECC" w:rsidRDefault="00B53ECC" w:rsidP="00DF4FBF">
      <w:pPr>
        <w:ind w:left="720" w:hanging="720"/>
        <w:rPr>
          <w:szCs w:val="24"/>
        </w:rPr>
      </w:pPr>
      <w:r w:rsidRPr="00B53ECC">
        <w:rPr>
          <w:szCs w:val="24"/>
        </w:rPr>
        <w:t>Zack et al., 2011, In situ U–Pb rutile dating by LA-ICP-MS: 208Pb correction and prospects for geological applications. Contributions to Mineralogy and Petrology: v. 162, no. 3, p. 515-530.</w:t>
      </w:r>
    </w:p>
    <w:p w14:paraId="34B7D0E5" w14:textId="77777777" w:rsidR="00B53ECC" w:rsidRPr="00B53ECC" w:rsidRDefault="00B53ECC" w:rsidP="00DF4FBF">
      <w:pPr>
        <w:ind w:left="720" w:hanging="720"/>
        <w:rPr>
          <w:szCs w:val="24"/>
        </w:rPr>
      </w:pPr>
    </w:p>
    <w:p w14:paraId="0AD5B45E" w14:textId="1FDE5EDD" w:rsidR="00B53ECC" w:rsidRPr="00B53ECC" w:rsidRDefault="00B53ECC" w:rsidP="00DF4FBF">
      <w:pPr>
        <w:ind w:left="720" w:hanging="720"/>
        <w:rPr>
          <w:szCs w:val="24"/>
        </w:rPr>
      </w:pPr>
      <w:r w:rsidRPr="00B53ECC">
        <w:rPr>
          <w:szCs w:val="24"/>
        </w:rPr>
        <w:t xml:space="preserve">Zhang, X., Pease, V., Skogseid, J., and Wohlgemuth-Ueberwasser, C., 2016, Reconstruction of tectonic events on the northern Eurasia margin of the </w:t>
      </w:r>
      <w:r w:rsidR="00241D3D">
        <w:rPr>
          <w:szCs w:val="24"/>
        </w:rPr>
        <w:t>A</w:t>
      </w:r>
      <w:r w:rsidRPr="00B53ECC">
        <w:rPr>
          <w:szCs w:val="24"/>
        </w:rPr>
        <w:t xml:space="preserve">rctic, </w:t>
      </w:r>
      <w:r w:rsidRPr="00B53ECC">
        <w:rPr>
          <w:szCs w:val="24"/>
        </w:rPr>
        <w:lastRenderedPageBreak/>
        <w:t>from</w:t>
      </w:r>
      <w:r w:rsidR="00241D3D">
        <w:rPr>
          <w:szCs w:val="24"/>
        </w:rPr>
        <w:t xml:space="preserve"> U-Pb</w:t>
      </w:r>
      <w:r w:rsidRPr="00B53ECC">
        <w:rPr>
          <w:szCs w:val="24"/>
        </w:rPr>
        <w:t xml:space="preserve"> detrital zircon pro</w:t>
      </w:r>
      <w:r w:rsidR="00241D3D">
        <w:rPr>
          <w:szCs w:val="24"/>
        </w:rPr>
        <w:t>venance investigations of late Paleozoic to Mesozoic sandstones in southern T</w:t>
      </w:r>
      <w:r w:rsidRPr="00B53ECC">
        <w:rPr>
          <w:szCs w:val="24"/>
        </w:rPr>
        <w:t>aimyr Peninsula: Geological Society of America</w:t>
      </w:r>
      <w:r w:rsidR="00241D3D">
        <w:rPr>
          <w:szCs w:val="24"/>
        </w:rPr>
        <w:t xml:space="preserve"> Bulletin</w:t>
      </w:r>
      <w:r w:rsidRPr="00B53ECC">
        <w:rPr>
          <w:szCs w:val="24"/>
        </w:rPr>
        <w:t>, v. 128, p. 29–46, doi:10.1130/B31241.1.</w:t>
      </w:r>
    </w:p>
    <w:p w14:paraId="32AE2BC3" w14:textId="77777777" w:rsidR="00B53ECC" w:rsidRDefault="00B53ECC" w:rsidP="00F0786C">
      <w:pPr>
        <w:rPr>
          <w:b/>
          <w:szCs w:val="24"/>
        </w:rPr>
      </w:pPr>
    </w:p>
    <w:sectPr w:rsidR="00B53ECC" w:rsidSect="00F125EE">
      <w:headerReference w:type="even" r:id="rId20"/>
      <w:headerReference w:type="default" r:id="rId21"/>
      <w:footerReference w:type="even" r:id="rId22"/>
      <w:footerReference w:type="default" r:id="rId23"/>
      <w:headerReference w:type="first" r:id="rId24"/>
      <w:footerReference w:type="first" r:id="rId25"/>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0F6D0B" w14:textId="77777777" w:rsidR="00C53899" w:rsidRDefault="00C53899">
      <w:r>
        <w:separator/>
      </w:r>
    </w:p>
  </w:endnote>
  <w:endnote w:type="continuationSeparator" w:id="0">
    <w:p w14:paraId="61D1B987" w14:textId="77777777" w:rsidR="00C53899" w:rsidRDefault="00C53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Myriad Pro">
    <w:altName w:val="Corbel"/>
    <w:charset w:val="00"/>
    <w:family w:val="auto"/>
    <w:pitch w:val="variable"/>
    <w:sig w:usb0="00000001" w:usb1="00000001" w:usb2="00000000" w:usb3="00000000" w:csb0="0000019F" w:csb1="00000000"/>
  </w:font>
  <w:font w:name="Myriad Pro Light">
    <w:altName w:val="Times New Roman"/>
    <w:charset w:val="00"/>
    <w:family w:val="auto"/>
    <w:pitch w:val="variable"/>
    <w:sig w:usb0="00000001" w:usb1="00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6102A" w14:textId="77777777" w:rsidR="00BC6E82" w:rsidRDefault="00BC6E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8E7ED" w14:textId="5316BBAC" w:rsidR="00BC6E82" w:rsidRDefault="00BC6E82">
    <w:pPr>
      <w:pStyle w:val="Footer"/>
      <w:jc w:val="right"/>
    </w:pPr>
    <w:r>
      <w:fldChar w:fldCharType="begin"/>
    </w:r>
    <w:r>
      <w:instrText xml:space="preserve"> PAGE   \* MERGEFORMAT </w:instrText>
    </w:r>
    <w:r>
      <w:fldChar w:fldCharType="separate"/>
    </w:r>
    <w:r w:rsidR="00FF1E80">
      <w:rPr>
        <w:noProof/>
      </w:rPr>
      <w:t>2</w:t>
    </w:r>
    <w:r>
      <w:fldChar w:fldCharType="end"/>
    </w:r>
  </w:p>
  <w:p w14:paraId="486656F3" w14:textId="77777777" w:rsidR="00BC6E82" w:rsidRDefault="00BC6E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BBCA3" w14:textId="77777777" w:rsidR="00BC6E82" w:rsidRDefault="00BC6E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717EC5" w14:textId="77777777" w:rsidR="00C53899" w:rsidRDefault="00C53899">
      <w:r>
        <w:separator/>
      </w:r>
    </w:p>
  </w:footnote>
  <w:footnote w:type="continuationSeparator" w:id="0">
    <w:p w14:paraId="4E0305EB" w14:textId="77777777" w:rsidR="00C53899" w:rsidRDefault="00C538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9EF6B" w14:textId="77777777" w:rsidR="00BC6E82" w:rsidRDefault="00BC6E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23C1C" w14:textId="77777777" w:rsidR="00BC6E82" w:rsidRPr="005001AC" w:rsidRDefault="00BC6E82" w:rsidP="005001AC">
    <w:pPr>
      <w:jc w:val="right"/>
      <w:rPr>
        <w:sz w:val="20"/>
      </w:rPr>
    </w:pPr>
  </w:p>
  <w:p w14:paraId="18F8F636" w14:textId="77777777" w:rsidR="00BC6E82" w:rsidRDefault="00BC6E8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C5ADD" w14:textId="77777777" w:rsidR="00BC6E82" w:rsidRDefault="00BC6E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01B5"/>
    <w:rsid w:val="00015537"/>
    <w:rsid w:val="00015F74"/>
    <w:rsid w:val="000262BB"/>
    <w:rsid w:val="00037C42"/>
    <w:rsid w:val="000413DD"/>
    <w:rsid w:val="00042319"/>
    <w:rsid w:val="00043571"/>
    <w:rsid w:val="000454ED"/>
    <w:rsid w:val="00046231"/>
    <w:rsid w:val="00061BE6"/>
    <w:rsid w:val="00063ABF"/>
    <w:rsid w:val="00065EBD"/>
    <w:rsid w:val="0007016D"/>
    <w:rsid w:val="00075DFC"/>
    <w:rsid w:val="00082350"/>
    <w:rsid w:val="00083B44"/>
    <w:rsid w:val="000850DC"/>
    <w:rsid w:val="000911C7"/>
    <w:rsid w:val="00093D71"/>
    <w:rsid w:val="00094122"/>
    <w:rsid w:val="00094365"/>
    <w:rsid w:val="000968DD"/>
    <w:rsid w:val="000A18E9"/>
    <w:rsid w:val="000A5076"/>
    <w:rsid w:val="000A6359"/>
    <w:rsid w:val="000B2E64"/>
    <w:rsid w:val="000B5CD4"/>
    <w:rsid w:val="000C2771"/>
    <w:rsid w:val="000D462E"/>
    <w:rsid w:val="000D68BD"/>
    <w:rsid w:val="000E1D14"/>
    <w:rsid w:val="000F0DCE"/>
    <w:rsid w:val="000F48F1"/>
    <w:rsid w:val="000F7AA6"/>
    <w:rsid w:val="00101560"/>
    <w:rsid w:val="00102E2C"/>
    <w:rsid w:val="00110C59"/>
    <w:rsid w:val="00111843"/>
    <w:rsid w:val="00112C5B"/>
    <w:rsid w:val="00113908"/>
    <w:rsid w:val="00114193"/>
    <w:rsid w:val="0011453C"/>
    <w:rsid w:val="001154E6"/>
    <w:rsid w:val="00115A38"/>
    <w:rsid w:val="0011657F"/>
    <w:rsid w:val="0011687B"/>
    <w:rsid w:val="00124E0C"/>
    <w:rsid w:val="00124F82"/>
    <w:rsid w:val="001278E3"/>
    <w:rsid w:val="00127E45"/>
    <w:rsid w:val="00130743"/>
    <w:rsid w:val="00130B50"/>
    <w:rsid w:val="00130EC0"/>
    <w:rsid w:val="0015393F"/>
    <w:rsid w:val="001544AB"/>
    <w:rsid w:val="00162A36"/>
    <w:rsid w:val="0016337A"/>
    <w:rsid w:val="00164269"/>
    <w:rsid w:val="0016635D"/>
    <w:rsid w:val="00177A33"/>
    <w:rsid w:val="00177B99"/>
    <w:rsid w:val="00180C21"/>
    <w:rsid w:val="00181BD5"/>
    <w:rsid w:val="00185DFC"/>
    <w:rsid w:val="00190276"/>
    <w:rsid w:val="00192BE1"/>
    <w:rsid w:val="00194C84"/>
    <w:rsid w:val="001966FD"/>
    <w:rsid w:val="00197826"/>
    <w:rsid w:val="001A19F4"/>
    <w:rsid w:val="001A1BDE"/>
    <w:rsid w:val="001A6E4A"/>
    <w:rsid w:val="001B5132"/>
    <w:rsid w:val="001C0773"/>
    <w:rsid w:val="001C0FBC"/>
    <w:rsid w:val="001C7B4E"/>
    <w:rsid w:val="001D7436"/>
    <w:rsid w:val="001E2B00"/>
    <w:rsid w:val="001F0876"/>
    <w:rsid w:val="001F167C"/>
    <w:rsid w:val="001F5E91"/>
    <w:rsid w:val="001F7F0B"/>
    <w:rsid w:val="0020183F"/>
    <w:rsid w:val="002077B9"/>
    <w:rsid w:val="00221C70"/>
    <w:rsid w:val="002251AF"/>
    <w:rsid w:val="00225A68"/>
    <w:rsid w:val="00227D86"/>
    <w:rsid w:val="00233314"/>
    <w:rsid w:val="00241D3D"/>
    <w:rsid w:val="002429D2"/>
    <w:rsid w:val="00242ACE"/>
    <w:rsid w:val="002430C9"/>
    <w:rsid w:val="00243B68"/>
    <w:rsid w:val="00262D72"/>
    <w:rsid w:val="002718CE"/>
    <w:rsid w:val="00274C4D"/>
    <w:rsid w:val="002800B6"/>
    <w:rsid w:val="00283439"/>
    <w:rsid w:val="00283659"/>
    <w:rsid w:val="002838C8"/>
    <w:rsid w:val="0029348B"/>
    <w:rsid w:val="00293AC6"/>
    <w:rsid w:val="0029584E"/>
    <w:rsid w:val="002A4ECF"/>
    <w:rsid w:val="002B158C"/>
    <w:rsid w:val="002B35D4"/>
    <w:rsid w:val="002C030F"/>
    <w:rsid w:val="002C3AAB"/>
    <w:rsid w:val="002C4E63"/>
    <w:rsid w:val="002D008E"/>
    <w:rsid w:val="002E140C"/>
    <w:rsid w:val="002E7DE3"/>
    <w:rsid w:val="002F3966"/>
    <w:rsid w:val="00320E2C"/>
    <w:rsid w:val="00320F89"/>
    <w:rsid w:val="0032311E"/>
    <w:rsid w:val="00324D86"/>
    <w:rsid w:val="0032637C"/>
    <w:rsid w:val="003318B8"/>
    <w:rsid w:val="00331D75"/>
    <w:rsid w:val="00341D47"/>
    <w:rsid w:val="00342F24"/>
    <w:rsid w:val="003452D8"/>
    <w:rsid w:val="00345DF4"/>
    <w:rsid w:val="00352EEA"/>
    <w:rsid w:val="00353279"/>
    <w:rsid w:val="00355362"/>
    <w:rsid w:val="00356E2B"/>
    <w:rsid w:val="003575CD"/>
    <w:rsid w:val="00357EBB"/>
    <w:rsid w:val="00362ED6"/>
    <w:rsid w:val="00363E44"/>
    <w:rsid w:val="00367495"/>
    <w:rsid w:val="00367DFA"/>
    <w:rsid w:val="00395E2E"/>
    <w:rsid w:val="00395E86"/>
    <w:rsid w:val="003A2FD8"/>
    <w:rsid w:val="003A31D0"/>
    <w:rsid w:val="003B40E6"/>
    <w:rsid w:val="003C007A"/>
    <w:rsid w:val="003D4628"/>
    <w:rsid w:val="003D6EDD"/>
    <w:rsid w:val="003E1980"/>
    <w:rsid w:val="003F3F5B"/>
    <w:rsid w:val="003F41A6"/>
    <w:rsid w:val="003F6E14"/>
    <w:rsid w:val="003F7A43"/>
    <w:rsid w:val="00401AD5"/>
    <w:rsid w:val="0040489B"/>
    <w:rsid w:val="00405336"/>
    <w:rsid w:val="00421605"/>
    <w:rsid w:val="00437F0B"/>
    <w:rsid w:val="004568BC"/>
    <w:rsid w:val="004571D5"/>
    <w:rsid w:val="0046239B"/>
    <w:rsid w:val="00462924"/>
    <w:rsid w:val="00462F1B"/>
    <w:rsid w:val="0046356B"/>
    <w:rsid w:val="00466537"/>
    <w:rsid w:val="00470F4C"/>
    <w:rsid w:val="00473FB5"/>
    <w:rsid w:val="00477182"/>
    <w:rsid w:val="004779CB"/>
    <w:rsid w:val="00481118"/>
    <w:rsid w:val="00482472"/>
    <w:rsid w:val="004A2025"/>
    <w:rsid w:val="004A5A80"/>
    <w:rsid w:val="004A6423"/>
    <w:rsid w:val="004B2481"/>
    <w:rsid w:val="004C05B8"/>
    <w:rsid w:val="004C602B"/>
    <w:rsid w:val="004C6E86"/>
    <w:rsid w:val="004D2A8C"/>
    <w:rsid w:val="004D41D5"/>
    <w:rsid w:val="004E42D8"/>
    <w:rsid w:val="004E7BA2"/>
    <w:rsid w:val="004F3D1B"/>
    <w:rsid w:val="004F792F"/>
    <w:rsid w:val="004F799F"/>
    <w:rsid w:val="004F7EDF"/>
    <w:rsid w:val="005001AC"/>
    <w:rsid w:val="005027A0"/>
    <w:rsid w:val="005027A3"/>
    <w:rsid w:val="00505427"/>
    <w:rsid w:val="005128BB"/>
    <w:rsid w:val="00517016"/>
    <w:rsid w:val="0051713D"/>
    <w:rsid w:val="00521386"/>
    <w:rsid w:val="0052308D"/>
    <w:rsid w:val="00527D71"/>
    <w:rsid w:val="00527D84"/>
    <w:rsid w:val="005314B5"/>
    <w:rsid w:val="00541FFE"/>
    <w:rsid w:val="00544259"/>
    <w:rsid w:val="0054432F"/>
    <w:rsid w:val="00551C22"/>
    <w:rsid w:val="00552C23"/>
    <w:rsid w:val="00554BE4"/>
    <w:rsid w:val="00554FCE"/>
    <w:rsid w:val="005607DD"/>
    <w:rsid w:val="005615A2"/>
    <w:rsid w:val="00563086"/>
    <w:rsid w:val="00563C47"/>
    <w:rsid w:val="005666B2"/>
    <w:rsid w:val="00572891"/>
    <w:rsid w:val="00572DFF"/>
    <w:rsid w:val="00585857"/>
    <w:rsid w:val="005864D9"/>
    <w:rsid w:val="00587760"/>
    <w:rsid w:val="005A558C"/>
    <w:rsid w:val="005B186E"/>
    <w:rsid w:val="005B7977"/>
    <w:rsid w:val="005C0373"/>
    <w:rsid w:val="005C580D"/>
    <w:rsid w:val="005C6651"/>
    <w:rsid w:val="005D0FA9"/>
    <w:rsid w:val="005D6D71"/>
    <w:rsid w:val="005E1946"/>
    <w:rsid w:val="005E283A"/>
    <w:rsid w:val="005E28F8"/>
    <w:rsid w:val="005E6513"/>
    <w:rsid w:val="005F39DD"/>
    <w:rsid w:val="005F6E47"/>
    <w:rsid w:val="00600E45"/>
    <w:rsid w:val="00606067"/>
    <w:rsid w:val="00611F9E"/>
    <w:rsid w:val="006132FB"/>
    <w:rsid w:val="00613F4A"/>
    <w:rsid w:val="00614A2E"/>
    <w:rsid w:val="006237D4"/>
    <w:rsid w:val="006304C4"/>
    <w:rsid w:val="00630C71"/>
    <w:rsid w:val="0063412C"/>
    <w:rsid w:val="006453BA"/>
    <w:rsid w:val="00646AF1"/>
    <w:rsid w:val="00647E88"/>
    <w:rsid w:val="00651114"/>
    <w:rsid w:val="006622CF"/>
    <w:rsid w:val="00664A12"/>
    <w:rsid w:val="0066722B"/>
    <w:rsid w:val="00670299"/>
    <w:rsid w:val="006740BE"/>
    <w:rsid w:val="00676254"/>
    <w:rsid w:val="00676BA6"/>
    <w:rsid w:val="006803C8"/>
    <w:rsid w:val="006821C3"/>
    <w:rsid w:val="0068469F"/>
    <w:rsid w:val="00691985"/>
    <w:rsid w:val="006919E9"/>
    <w:rsid w:val="006939D3"/>
    <w:rsid w:val="006962C1"/>
    <w:rsid w:val="006A1B64"/>
    <w:rsid w:val="006B03AD"/>
    <w:rsid w:val="006B5F0D"/>
    <w:rsid w:val="006C0471"/>
    <w:rsid w:val="006C52CB"/>
    <w:rsid w:val="006C70EA"/>
    <w:rsid w:val="006D1E7B"/>
    <w:rsid w:val="006D60F6"/>
    <w:rsid w:val="006D7414"/>
    <w:rsid w:val="006F602A"/>
    <w:rsid w:val="006F609C"/>
    <w:rsid w:val="006F755E"/>
    <w:rsid w:val="0070157A"/>
    <w:rsid w:val="00705AD5"/>
    <w:rsid w:val="007108F5"/>
    <w:rsid w:val="0071254F"/>
    <w:rsid w:val="00712B63"/>
    <w:rsid w:val="00713AF2"/>
    <w:rsid w:val="00713E5B"/>
    <w:rsid w:val="00726A4C"/>
    <w:rsid w:val="00736FC4"/>
    <w:rsid w:val="007402FC"/>
    <w:rsid w:val="00741172"/>
    <w:rsid w:val="007411A1"/>
    <w:rsid w:val="00741B6A"/>
    <w:rsid w:val="007563F2"/>
    <w:rsid w:val="00757654"/>
    <w:rsid w:val="007602AB"/>
    <w:rsid w:val="00763285"/>
    <w:rsid w:val="00764008"/>
    <w:rsid w:val="0076648A"/>
    <w:rsid w:val="007720DB"/>
    <w:rsid w:val="0077301D"/>
    <w:rsid w:val="00790C0C"/>
    <w:rsid w:val="00794E24"/>
    <w:rsid w:val="00797422"/>
    <w:rsid w:val="007B4F76"/>
    <w:rsid w:val="007C39AF"/>
    <w:rsid w:val="007C6EBF"/>
    <w:rsid w:val="007C6F00"/>
    <w:rsid w:val="007D1685"/>
    <w:rsid w:val="007F3A90"/>
    <w:rsid w:val="007F3B32"/>
    <w:rsid w:val="007F4BD9"/>
    <w:rsid w:val="00801E29"/>
    <w:rsid w:val="0080667C"/>
    <w:rsid w:val="00807D35"/>
    <w:rsid w:val="008115D9"/>
    <w:rsid w:val="00825950"/>
    <w:rsid w:val="008310BC"/>
    <w:rsid w:val="008315DF"/>
    <w:rsid w:val="00832C46"/>
    <w:rsid w:val="008344CE"/>
    <w:rsid w:val="00834C6E"/>
    <w:rsid w:val="008361DB"/>
    <w:rsid w:val="00841DFE"/>
    <w:rsid w:val="00843EDC"/>
    <w:rsid w:val="008470CE"/>
    <w:rsid w:val="008474F2"/>
    <w:rsid w:val="00854F6C"/>
    <w:rsid w:val="00855585"/>
    <w:rsid w:val="00855D08"/>
    <w:rsid w:val="00865650"/>
    <w:rsid w:val="008729FE"/>
    <w:rsid w:val="008805CC"/>
    <w:rsid w:val="00880966"/>
    <w:rsid w:val="008812C3"/>
    <w:rsid w:val="00881495"/>
    <w:rsid w:val="00885C9B"/>
    <w:rsid w:val="008918C5"/>
    <w:rsid w:val="008927D0"/>
    <w:rsid w:val="00892C5B"/>
    <w:rsid w:val="00892F86"/>
    <w:rsid w:val="00894575"/>
    <w:rsid w:val="008A2391"/>
    <w:rsid w:val="008B3C5E"/>
    <w:rsid w:val="008B43B3"/>
    <w:rsid w:val="008B7408"/>
    <w:rsid w:val="008C5017"/>
    <w:rsid w:val="008C6037"/>
    <w:rsid w:val="008D5D2A"/>
    <w:rsid w:val="008D63EC"/>
    <w:rsid w:val="008E2CF1"/>
    <w:rsid w:val="008E3ACC"/>
    <w:rsid w:val="008E40E4"/>
    <w:rsid w:val="008E4AD2"/>
    <w:rsid w:val="008E5768"/>
    <w:rsid w:val="008F08DC"/>
    <w:rsid w:val="008F5A8A"/>
    <w:rsid w:val="00901877"/>
    <w:rsid w:val="00904DFA"/>
    <w:rsid w:val="009055D1"/>
    <w:rsid w:val="00906DD9"/>
    <w:rsid w:val="009149E2"/>
    <w:rsid w:val="00914B63"/>
    <w:rsid w:val="00915444"/>
    <w:rsid w:val="00920169"/>
    <w:rsid w:val="00922705"/>
    <w:rsid w:val="00924546"/>
    <w:rsid w:val="00927D51"/>
    <w:rsid w:val="00930B67"/>
    <w:rsid w:val="00932FE5"/>
    <w:rsid w:val="00934641"/>
    <w:rsid w:val="009354F3"/>
    <w:rsid w:val="009447DC"/>
    <w:rsid w:val="009452BD"/>
    <w:rsid w:val="00946A2A"/>
    <w:rsid w:val="00956C2C"/>
    <w:rsid w:val="009572CA"/>
    <w:rsid w:val="009601C6"/>
    <w:rsid w:val="00961BA5"/>
    <w:rsid w:val="00966CA4"/>
    <w:rsid w:val="009743A9"/>
    <w:rsid w:val="00975720"/>
    <w:rsid w:val="009859A7"/>
    <w:rsid w:val="00990277"/>
    <w:rsid w:val="00996CDC"/>
    <w:rsid w:val="009975B6"/>
    <w:rsid w:val="009A5287"/>
    <w:rsid w:val="009B2AC5"/>
    <w:rsid w:val="009B7984"/>
    <w:rsid w:val="009C7351"/>
    <w:rsid w:val="009D021F"/>
    <w:rsid w:val="009D0754"/>
    <w:rsid w:val="009D3E42"/>
    <w:rsid w:val="009F04F4"/>
    <w:rsid w:val="009F2BAB"/>
    <w:rsid w:val="009F4BED"/>
    <w:rsid w:val="009F7D93"/>
    <w:rsid w:val="00A11AA4"/>
    <w:rsid w:val="00A22E6B"/>
    <w:rsid w:val="00A276DF"/>
    <w:rsid w:val="00A3084A"/>
    <w:rsid w:val="00A3403B"/>
    <w:rsid w:val="00A36EF2"/>
    <w:rsid w:val="00A50033"/>
    <w:rsid w:val="00A509F4"/>
    <w:rsid w:val="00A51950"/>
    <w:rsid w:val="00A51A12"/>
    <w:rsid w:val="00A51CC5"/>
    <w:rsid w:val="00A548F6"/>
    <w:rsid w:val="00A578C2"/>
    <w:rsid w:val="00A627D4"/>
    <w:rsid w:val="00A64042"/>
    <w:rsid w:val="00A660B8"/>
    <w:rsid w:val="00A74DA2"/>
    <w:rsid w:val="00A900F8"/>
    <w:rsid w:val="00A91AB4"/>
    <w:rsid w:val="00A92733"/>
    <w:rsid w:val="00A927AC"/>
    <w:rsid w:val="00A94721"/>
    <w:rsid w:val="00A95E9B"/>
    <w:rsid w:val="00A977DF"/>
    <w:rsid w:val="00AA2E6E"/>
    <w:rsid w:val="00AA5D33"/>
    <w:rsid w:val="00AA76F3"/>
    <w:rsid w:val="00AC7DA6"/>
    <w:rsid w:val="00AD0A03"/>
    <w:rsid w:val="00AD499C"/>
    <w:rsid w:val="00AF16FF"/>
    <w:rsid w:val="00AF2307"/>
    <w:rsid w:val="00AF2419"/>
    <w:rsid w:val="00AF5ACD"/>
    <w:rsid w:val="00B0261F"/>
    <w:rsid w:val="00B134C3"/>
    <w:rsid w:val="00B14920"/>
    <w:rsid w:val="00B16CC3"/>
    <w:rsid w:val="00B1767E"/>
    <w:rsid w:val="00B202E4"/>
    <w:rsid w:val="00B27292"/>
    <w:rsid w:val="00B30334"/>
    <w:rsid w:val="00B3147F"/>
    <w:rsid w:val="00B3409C"/>
    <w:rsid w:val="00B36869"/>
    <w:rsid w:val="00B43B31"/>
    <w:rsid w:val="00B47CFA"/>
    <w:rsid w:val="00B523C0"/>
    <w:rsid w:val="00B53ECC"/>
    <w:rsid w:val="00B56CB1"/>
    <w:rsid w:val="00B57F00"/>
    <w:rsid w:val="00B626CB"/>
    <w:rsid w:val="00B653B5"/>
    <w:rsid w:val="00B66EC6"/>
    <w:rsid w:val="00B725D0"/>
    <w:rsid w:val="00B7560C"/>
    <w:rsid w:val="00B77E40"/>
    <w:rsid w:val="00B82C22"/>
    <w:rsid w:val="00B93DBA"/>
    <w:rsid w:val="00B9440A"/>
    <w:rsid w:val="00B94CA4"/>
    <w:rsid w:val="00B952C1"/>
    <w:rsid w:val="00B968D7"/>
    <w:rsid w:val="00BA3953"/>
    <w:rsid w:val="00BA437A"/>
    <w:rsid w:val="00BB2D2A"/>
    <w:rsid w:val="00BB3B5E"/>
    <w:rsid w:val="00BB5F7C"/>
    <w:rsid w:val="00BC2174"/>
    <w:rsid w:val="00BC31E2"/>
    <w:rsid w:val="00BC6E82"/>
    <w:rsid w:val="00BD58CF"/>
    <w:rsid w:val="00BE3868"/>
    <w:rsid w:val="00BE3C0B"/>
    <w:rsid w:val="00BE5F08"/>
    <w:rsid w:val="00BE6A6E"/>
    <w:rsid w:val="00BF0EE8"/>
    <w:rsid w:val="00BF1BEB"/>
    <w:rsid w:val="00BF1BF9"/>
    <w:rsid w:val="00BF1D0A"/>
    <w:rsid w:val="00BF1D2F"/>
    <w:rsid w:val="00BF7EF0"/>
    <w:rsid w:val="00C04CC1"/>
    <w:rsid w:val="00C067C6"/>
    <w:rsid w:val="00C071FC"/>
    <w:rsid w:val="00C10C8F"/>
    <w:rsid w:val="00C11BF5"/>
    <w:rsid w:val="00C2234E"/>
    <w:rsid w:val="00C22C02"/>
    <w:rsid w:val="00C278D3"/>
    <w:rsid w:val="00C27F6F"/>
    <w:rsid w:val="00C3077A"/>
    <w:rsid w:val="00C30E83"/>
    <w:rsid w:val="00C43A4A"/>
    <w:rsid w:val="00C50C6D"/>
    <w:rsid w:val="00C53899"/>
    <w:rsid w:val="00C55FFC"/>
    <w:rsid w:val="00C57E51"/>
    <w:rsid w:val="00C600D9"/>
    <w:rsid w:val="00C634D7"/>
    <w:rsid w:val="00C64AB8"/>
    <w:rsid w:val="00C73E09"/>
    <w:rsid w:val="00C77790"/>
    <w:rsid w:val="00C87600"/>
    <w:rsid w:val="00C87940"/>
    <w:rsid w:val="00C94BDD"/>
    <w:rsid w:val="00C97782"/>
    <w:rsid w:val="00CA1277"/>
    <w:rsid w:val="00CA2B37"/>
    <w:rsid w:val="00CB29DD"/>
    <w:rsid w:val="00CC1384"/>
    <w:rsid w:val="00CD08F6"/>
    <w:rsid w:val="00CD0E6F"/>
    <w:rsid w:val="00CD3720"/>
    <w:rsid w:val="00CD4302"/>
    <w:rsid w:val="00CE6EAA"/>
    <w:rsid w:val="00CF1848"/>
    <w:rsid w:val="00CF5C2F"/>
    <w:rsid w:val="00CF6E5E"/>
    <w:rsid w:val="00CF7E83"/>
    <w:rsid w:val="00D04BCF"/>
    <w:rsid w:val="00D06C54"/>
    <w:rsid w:val="00D10134"/>
    <w:rsid w:val="00D11173"/>
    <w:rsid w:val="00D11E0E"/>
    <w:rsid w:val="00D143D9"/>
    <w:rsid w:val="00D16292"/>
    <w:rsid w:val="00D1640F"/>
    <w:rsid w:val="00D178F5"/>
    <w:rsid w:val="00D3623D"/>
    <w:rsid w:val="00D4372A"/>
    <w:rsid w:val="00D51173"/>
    <w:rsid w:val="00D515EB"/>
    <w:rsid w:val="00D55820"/>
    <w:rsid w:val="00D558C9"/>
    <w:rsid w:val="00D60BB0"/>
    <w:rsid w:val="00D64A4F"/>
    <w:rsid w:val="00D65708"/>
    <w:rsid w:val="00D74A16"/>
    <w:rsid w:val="00D771D7"/>
    <w:rsid w:val="00D8159F"/>
    <w:rsid w:val="00D83C75"/>
    <w:rsid w:val="00D84948"/>
    <w:rsid w:val="00D9682F"/>
    <w:rsid w:val="00DB7EDD"/>
    <w:rsid w:val="00DC0984"/>
    <w:rsid w:val="00DC2407"/>
    <w:rsid w:val="00DC5B27"/>
    <w:rsid w:val="00DD1D04"/>
    <w:rsid w:val="00DD79D7"/>
    <w:rsid w:val="00DE0C71"/>
    <w:rsid w:val="00DE5DB3"/>
    <w:rsid w:val="00DF4FBF"/>
    <w:rsid w:val="00E00EF8"/>
    <w:rsid w:val="00E107F7"/>
    <w:rsid w:val="00E13061"/>
    <w:rsid w:val="00E141AA"/>
    <w:rsid w:val="00E1518C"/>
    <w:rsid w:val="00E17808"/>
    <w:rsid w:val="00E20431"/>
    <w:rsid w:val="00E22485"/>
    <w:rsid w:val="00E257C8"/>
    <w:rsid w:val="00E40896"/>
    <w:rsid w:val="00E43D2D"/>
    <w:rsid w:val="00E449CB"/>
    <w:rsid w:val="00E45D12"/>
    <w:rsid w:val="00E4662B"/>
    <w:rsid w:val="00E4725A"/>
    <w:rsid w:val="00E6265C"/>
    <w:rsid w:val="00E63760"/>
    <w:rsid w:val="00E64049"/>
    <w:rsid w:val="00E648D4"/>
    <w:rsid w:val="00E671CA"/>
    <w:rsid w:val="00E80E1D"/>
    <w:rsid w:val="00E8116F"/>
    <w:rsid w:val="00E852B3"/>
    <w:rsid w:val="00E86EFA"/>
    <w:rsid w:val="00E9210A"/>
    <w:rsid w:val="00E935B0"/>
    <w:rsid w:val="00E9773B"/>
    <w:rsid w:val="00E97F64"/>
    <w:rsid w:val="00EB1FAC"/>
    <w:rsid w:val="00EB271B"/>
    <w:rsid w:val="00EC13A3"/>
    <w:rsid w:val="00EC2149"/>
    <w:rsid w:val="00EC7C85"/>
    <w:rsid w:val="00ED1297"/>
    <w:rsid w:val="00ED69CA"/>
    <w:rsid w:val="00EE35AB"/>
    <w:rsid w:val="00EE35BB"/>
    <w:rsid w:val="00EE3E2C"/>
    <w:rsid w:val="00EF0A3A"/>
    <w:rsid w:val="00EF25A3"/>
    <w:rsid w:val="00EF36AC"/>
    <w:rsid w:val="00EF78E0"/>
    <w:rsid w:val="00EF7D45"/>
    <w:rsid w:val="00F00BB7"/>
    <w:rsid w:val="00F0454F"/>
    <w:rsid w:val="00F0786C"/>
    <w:rsid w:val="00F125EE"/>
    <w:rsid w:val="00F12E98"/>
    <w:rsid w:val="00F131B6"/>
    <w:rsid w:val="00F1539C"/>
    <w:rsid w:val="00F21710"/>
    <w:rsid w:val="00F21754"/>
    <w:rsid w:val="00F22029"/>
    <w:rsid w:val="00F23A78"/>
    <w:rsid w:val="00F23E46"/>
    <w:rsid w:val="00F3515C"/>
    <w:rsid w:val="00F423DA"/>
    <w:rsid w:val="00F47BA3"/>
    <w:rsid w:val="00F53293"/>
    <w:rsid w:val="00F56E67"/>
    <w:rsid w:val="00F6190C"/>
    <w:rsid w:val="00F630EA"/>
    <w:rsid w:val="00F6474F"/>
    <w:rsid w:val="00F64BEC"/>
    <w:rsid w:val="00F7007E"/>
    <w:rsid w:val="00F73193"/>
    <w:rsid w:val="00F74F95"/>
    <w:rsid w:val="00F80705"/>
    <w:rsid w:val="00F84ACB"/>
    <w:rsid w:val="00F87FC4"/>
    <w:rsid w:val="00F90339"/>
    <w:rsid w:val="00F91E8B"/>
    <w:rsid w:val="00F962F4"/>
    <w:rsid w:val="00FA1481"/>
    <w:rsid w:val="00FA1E7E"/>
    <w:rsid w:val="00FA234B"/>
    <w:rsid w:val="00FA597C"/>
    <w:rsid w:val="00FB1C42"/>
    <w:rsid w:val="00FB32EC"/>
    <w:rsid w:val="00FB3949"/>
    <w:rsid w:val="00FB3D65"/>
    <w:rsid w:val="00FB75D6"/>
    <w:rsid w:val="00FB7741"/>
    <w:rsid w:val="00FC1B7A"/>
    <w:rsid w:val="00FC2863"/>
    <w:rsid w:val="00FD1E86"/>
    <w:rsid w:val="00FE5613"/>
    <w:rsid w:val="00FF04E3"/>
    <w:rsid w:val="00FF1E80"/>
    <w:rsid w:val="00FF22F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footnote reference" w:semiHidden="1"/>
    <w:lsdException w:name="annotation reference" w:semiHidden="1" w:uiPriority="99"/>
    <w:lsdException w:name="line number" w:semiHidden="1"/>
    <w:lsdException w:name="endnote reference" w:semiHidden="1"/>
    <w:lsdException w:name="Title" w:uiPriority="10" w:qFormat="1"/>
    <w:lsdException w:name="Subtitle" w:qFormat="1"/>
    <w:lsdException w:name="Hyperlink" w:uiPriority="99"/>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unhideWhenUsed="1"/>
    <w:lsdException w:name="HTML Sample" w:semiHidden="1"/>
    <w:lsdException w:name="HTML Typewriter" w:semiHidden="1"/>
    <w:lsdException w:name="HTML Variable" w:semiHidden="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uiPriority w:val="99"/>
    <w:semiHidden/>
    <w:rsid w:val="00405336"/>
    <w:rPr>
      <w:sz w:val="20"/>
    </w:rPr>
  </w:style>
  <w:style w:type="character" w:customStyle="1" w:styleId="CommentTextChar">
    <w:name w:val="Comment Text Char"/>
    <w:basedOn w:val="DefaultParagraphFont"/>
    <w:link w:val="CommentText"/>
    <w:uiPriority w:val="99"/>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uiPriority w:val="10"/>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uiPriority w:val="99"/>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uiPriority w:val="99"/>
    <w:semiHidden/>
    <w:rsid w:val="002800B6"/>
    <w:rPr>
      <w:sz w:val="16"/>
      <w:szCs w:val="16"/>
    </w:rPr>
  </w:style>
  <w:style w:type="paragraph" w:customStyle="1" w:styleId="Author">
    <w:name w:val="Author"/>
    <w:basedOn w:val="Normal"/>
    <w:rsid w:val="00101560"/>
    <w:rPr>
      <w:b/>
      <w:szCs w:val="24"/>
    </w:rPr>
  </w:style>
  <w:style w:type="paragraph" w:customStyle="1" w:styleId="AuthorAffiliation">
    <w:name w:val="Author Affiliation"/>
    <w:basedOn w:val="Normal"/>
    <w:rsid w:val="00101560"/>
    <w:rPr>
      <w:i/>
      <w:szCs w:val="24"/>
    </w:rPr>
  </w:style>
  <w:style w:type="paragraph" w:customStyle="1" w:styleId="Arttitle">
    <w:name w:val="Art title"/>
    <w:basedOn w:val="Normal"/>
    <w:rsid w:val="003F3F5B"/>
    <w:pPr>
      <w:outlineLvl w:val="0"/>
    </w:pPr>
    <w:rPr>
      <w:sz w:val="36"/>
      <w:szCs w:val="24"/>
    </w:rPr>
  </w:style>
  <w:style w:type="table" w:styleId="TableGrid">
    <w:name w:val="Table Grid"/>
    <w:basedOn w:val="TableNormal"/>
    <w:uiPriority w:val="59"/>
    <w:rsid w:val="004F799F"/>
    <w:rPr>
      <w:rFonts w:asciiTheme="minorHAnsi" w:eastAsiaTheme="minorEastAsia" w:hAnsiTheme="minorHAnsi" w:cstheme="minorBidi"/>
      <w:sz w:val="24"/>
      <w:szCs w:val="24"/>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basedOn w:val="Normal"/>
    <w:rsid w:val="00BC2174"/>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49159534">
      <w:bodyDiv w:val="1"/>
      <w:marLeft w:val="0"/>
      <w:marRight w:val="0"/>
      <w:marTop w:val="0"/>
      <w:marBottom w:val="0"/>
      <w:divBdr>
        <w:top w:val="none" w:sz="0" w:space="0" w:color="auto"/>
        <w:left w:val="none" w:sz="0" w:space="0" w:color="auto"/>
        <w:bottom w:val="none" w:sz="0" w:space="0" w:color="auto"/>
        <w:right w:val="none" w:sz="0" w:space="0" w:color="auto"/>
      </w:divBdr>
    </w:div>
    <w:div w:id="136580752">
      <w:bodyDiv w:val="1"/>
      <w:marLeft w:val="0"/>
      <w:marRight w:val="0"/>
      <w:marTop w:val="0"/>
      <w:marBottom w:val="0"/>
      <w:divBdr>
        <w:top w:val="none" w:sz="0" w:space="0" w:color="auto"/>
        <w:left w:val="none" w:sz="0" w:space="0" w:color="auto"/>
        <w:bottom w:val="none" w:sz="0" w:space="0" w:color="auto"/>
        <w:right w:val="none" w:sz="0" w:space="0" w:color="auto"/>
      </w:divBdr>
    </w:div>
    <w:div w:id="166213682">
      <w:bodyDiv w:val="1"/>
      <w:marLeft w:val="0"/>
      <w:marRight w:val="0"/>
      <w:marTop w:val="0"/>
      <w:marBottom w:val="0"/>
      <w:divBdr>
        <w:top w:val="none" w:sz="0" w:space="0" w:color="auto"/>
        <w:left w:val="none" w:sz="0" w:space="0" w:color="auto"/>
        <w:bottom w:val="none" w:sz="0" w:space="0" w:color="auto"/>
        <w:right w:val="none" w:sz="0" w:space="0" w:color="auto"/>
      </w:divBdr>
    </w:div>
    <w:div w:id="290324933">
      <w:bodyDiv w:val="1"/>
      <w:marLeft w:val="0"/>
      <w:marRight w:val="0"/>
      <w:marTop w:val="0"/>
      <w:marBottom w:val="0"/>
      <w:divBdr>
        <w:top w:val="none" w:sz="0" w:space="0" w:color="auto"/>
        <w:left w:val="none" w:sz="0" w:space="0" w:color="auto"/>
        <w:bottom w:val="none" w:sz="0" w:space="0" w:color="auto"/>
        <w:right w:val="none" w:sz="0" w:space="0" w:color="auto"/>
      </w:divBdr>
    </w:div>
    <w:div w:id="452212774">
      <w:bodyDiv w:val="1"/>
      <w:marLeft w:val="0"/>
      <w:marRight w:val="0"/>
      <w:marTop w:val="0"/>
      <w:marBottom w:val="0"/>
      <w:divBdr>
        <w:top w:val="none" w:sz="0" w:space="0" w:color="auto"/>
        <w:left w:val="none" w:sz="0" w:space="0" w:color="auto"/>
        <w:bottom w:val="none" w:sz="0" w:space="0" w:color="auto"/>
        <w:right w:val="none" w:sz="0" w:space="0" w:color="auto"/>
      </w:divBdr>
    </w:div>
    <w:div w:id="509375132">
      <w:bodyDiv w:val="1"/>
      <w:marLeft w:val="0"/>
      <w:marRight w:val="0"/>
      <w:marTop w:val="0"/>
      <w:marBottom w:val="0"/>
      <w:divBdr>
        <w:top w:val="none" w:sz="0" w:space="0" w:color="auto"/>
        <w:left w:val="none" w:sz="0" w:space="0" w:color="auto"/>
        <w:bottom w:val="none" w:sz="0" w:space="0" w:color="auto"/>
        <w:right w:val="none" w:sz="0" w:space="0" w:color="auto"/>
      </w:divBdr>
    </w:div>
    <w:div w:id="922840140">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304264379">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570117029">
      <w:bodyDiv w:val="1"/>
      <w:marLeft w:val="0"/>
      <w:marRight w:val="0"/>
      <w:marTop w:val="0"/>
      <w:marBottom w:val="0"/>
      <w:divBdr>
        <w:top w:val="none" w:sz="0" w:space="0" w:color="auto"/>
        <w:left w:val="none" w:sz="0" w:space="0" w:color="auto"/>
        <w:bottom w:val="none" w:sz="0" w:space="0" w:color="auto"/>
        <w:right w:val="none" w:sz="0" w:space="0" w:color="auto"/>
      </w:divBdr>
    </w:div>
    <w:div w:id="174090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eo.cornell.edu/geology/faculty/RWA/programs/stereonet.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mailto:daniel.brennan1@postgrad.curtin.edu.au" TargetMode="External"/><Relationship Id="rId12" Type="http://schemas.openxmlformats.org/officeDocument/2006/relationships/image" Target="media/image5.jpeg"/><Relationship Id="rId25" Type="http://schemas.openxmlformats.org/officeDocument/2006/relationships/footer" Target="footer3.xml"/><Relationship Id="rId2" Type="http://schemas.openxmlformats.org/officeDocument/2006/relationships/styles" Target="styles.xml"/><Relationship Id="rId16" Type="http://schemas.microsoft.com/office/2014/relationships/chartEx" Target="charts/chartEx1.xm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278458b\AppData\Local\Microsoft\Windows\INetCache\Content.Outlook\7EWOIERK\Brennan_RapidVconventional.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[Brennan_RapidVconventional.xlsx]DTBprocessed!$X$4:$Y$4</cx:f>
        <cx:lvl ptCount="1"/>
        <cx:lvl ptCount="1"/>
      </cx:strDim>
      <cx:numDim type="val">
        <cx:f>[Brennan_RapidVconventional.xlsx]DTBprocessed!$S$5:$S$155</cx:f>
        <cx:lvl ptCount="151" formatCode="0.00">
          <cx:pt idx="0">2.8900233624643152</cx:pt>
          <cx:pt idx="1">13.913733410271211</cx:pt>
          <cx:pt idx="2">19.830808577611652</cx:pt>
          <cx:pt idx="3">-0.99551318003363831</cx:pt>
          <cx:pt idx="4">7.6555625392834674</cx:pt>
          <cx:pt idx="5">-4.5657853485212723</cx:pt>
          <cx:pt idx="6">-0.60623337134168387</cx:pt>
          <cx:pt idx="7">0.66074747057609851</cx:pt>
          <cx:pt idx="8">-7.5056389515439053</cx:pt>
          <cx:pt idx="9">5.5151667084482323</cx:pt>
          <cx:pt idx="10">-9.9018078370193496</cx:pt>
          <cx:pt idx="11">-1.6588642377366125</cx:pt>
          <cx:pt idx="12">4.2469982847341399</cx:pt>
          <cx:pt idx="13">10.215053763440853</cx:pt>
          <cx:pt idx="14">1.1941316956670078</cx:pt>
          <cx:pt idx="15">1.9208132691278808</cx:pt>
          <cx:pt idx="16">-0.52305849470951926</cx:pt>
          <cx:pt idx="17">13.243769178953658</cx:pt>
          <cx:pt idx="18">-0.28774390792195359</cx:pt>
          <cx:pt idx="19">-3.7220648410450079</cx:pt>
          <cx:pt idx="20">3.2245992640179661</cx:pt>
          <cx:pt idx="21">-0.57964468533572855</cx:pt>
          <cx:pt idx="22">-0.5544248719208269</cx:pt>
          <cx:pt idx="23">-5.6513683010262223</cx:pt>
          <cx:pt idx="24">-4.4496762801648089</cx:pt>
          <cx:pt idx="25">3.403998621165115</cx:pt>
          <cx:pt idx="26">-0.41056052916690683</cx:pt>
          <cx:pt idx="27">-5.3892679900744422</cx:pt>
          <cx:pt idx="28">-4.9837984739207641</cx:pt>
          <cx:pt idx="29">0.37828802674407974</cx:pt>
          <cx:pt idx="30">-1.2948671466307557</cx:pt>
          <cx:pt idx="31">2.8469171953798598</cx:pt>
          <cx:pt idx="32">0.74294205052005946</cx:pt>
          <cx:pt idx="33">-1.6720078027030789</cx:pt>
          <cx:pt idx="34">-4.2883924386814449</cx:pt>
          <cx:pt idx="35">0.03006614552015115</cx:pt>
          <cx:pt idx="36">5.2747625508819578</cx:pt>
          <cx:pt idx="37">0.035967905561179812</cx:pt>
          <cx:pt idx="38">1.1905742770042056</cx:pt>
          <cx:pt idx="39">-2.3732220160791626</cx:pt>
          <cx:pt idx="40">-2.3420560747663499</cx:pt>
          <cx:pt idx="41">-0.80333016869933538</cx:pt>
          <cx:pt idx="42">-1.2030598052851151</cx:pt>
          <cx:pt idx="43">-0.43677779620721308</cx:pt>
          <cx:pt idx="44">-4.7886005954912765</cx:pt>
          <cx:pt idx="45">1.1554109031733155</cx:pt>
          <cx:pt idx="46">-0.32537210107303882</cx:pt>
          <cx:pt idx="47">-5.7679933817446454</cx:pt>
          <cx:pt idx="48">19.420720386186414</cx:pt>
          <cx:pt idx="49">-4.3653250773993779</cx:pt>
          <cx:pt idx="50">-0.67997934239973246</cx:pt>
          <cx:pt idx="51">21.723790322580648</cx:pt>
          <cx:pt idx="52">-4.8419374833967996</cx:pt>
          <cx:pt idx="53">-4.4022011005502844</cx:pt>
          <cx:pt idx="54">-4.5717484605336818</cx:pt>
          <cx:pt idx="55">-2.718987341772154</cx:pt>
          <cx:pt idx="56">-2.8860028860028861</cx:pt>
          <cx:pt idx="57">3.3171822586656727</cx:pt>
          <cx:pt idx="58">1.8251616379310283</cx:pt>
          <cx:pt idx="59">31.28004272743458</cx:pt>
          <cx:pt idx="60">3.938438007838633</cx:pt>
          <cx:pt idx="61">-2.1835580687255249</cx:pt>
          <cx:pt idx="62">13.887049474978719</cx:pt>
          <cx:pt idx="63">45.690490878646337</cx:pt>
          <cx:pt idx="64">-10.68542637132806</cx:pt>
          <cx:pt idx="65">-1.6061845611138283</cx:pt>
          <cx:pt idx="66">20.093135563987573</cx:pt>
          <cx:pt idx="67">0.80383102445699428</cx:pt>
          <cx:pt idx="68">2.5918635170603599</cx:pt>
          <cx:pt idx="69">-5.796676441837727</cx:pt>
          <cx:pt idx="70">-0.65651260504201669</cx:pt>
          <cx:pt idx="71">-3.9988574692944874</cx:pt>
          <cx:pt idx="72">-0.89313517338994275</cx:pt>
          <cx:pt idx="73">-0.88743577767398418</cx:pt>
          <cx:pt idx="74">-1.1514305652477161</cx:pt>
          <cx:pt idx="75">-6.7162308913207003</cx:pt>
          <cx:pt idx="76">9.5512820512820458</cx:pt>
          <cx:pt idx="77">-2.4147326881518416</cx:pt>
          <cx:pt idx="78">22.643387701967992</cx:pt>
          <cx:pt idx="79">1.4941156404571025</cx:pt>
          <cx:pt idx="80">-6.2401277841867007</cx:pt>
          <cx:pt idx="81">2.2218394764037162</cx:pt>
          <cx:pt idx="82">-1.2541278895226513</cx:pt>
          <cx:pt idx="83">8.1125487779831591</cx:pt>
          <cx:pt idx="84">4.1140881590319713</cx:pt>
          <cx:pt idx="85">-4.2804514814234302</cx:pt>
          <cx:pt idx="86">-1.1669812939763224</cx:pt>
          <cx:pt idx="87">0.37790417429864509</cx:pt>
          <cx:pt idx="88">-2.3483711485830234</cx:pt>
          <cx:pt idx="89">-0.52935514918189841</cx:pt>
          <cx:pt idx="90">-1.934225497101373</cx:pt>
          <cx:pt idx="91">-7.1579750214510369</cx:pt>
          <cx:pt idx="92">0.93472625873850157</cx:pt>
          <cx:pt idx="93">-2.9421542553191569</cx:pt>
          <cx:pt idx="94">8.823265416030873</cx:pt>
          <cx:pt idx="95">-4.4833452230697501</cx:pt>
          <cx:pt idx="96">10.704086115992963</cx:pt>
          <cx:pt idx="97">55.2451768488746</cx:pt>
          <cx:pt idx="98">4.9590627704186918</cx:pt>
          <cx:pt idx="99">-4.8419301164725495</cx:pt>
          <cx:pt idx="100">-1.4866120449362199</cx:pt>
          <cx:pt idx="101">-4.8414820473644049</cx:pt>
          <cx:pt idx="102">-0.26553812961580331</cx:pt>
          <cx:pt idx="103">-1.5453547915142731</cx:pt>
          <cx:pt idx="104">-7.2831984769157536</cx:pt>
          <cx:pt idx="105">-0.81934122396548625</cx:pt>
          <cx:pt idx="106">-2.6022169725604312</cx:pt>
          <cx:pt idx="107">-5.4172366621067116</cx:pt>
          <cx:pt idx="108">-4.2723918835827073</cx:pt>
          <cx:pt idx="109">8.3613519731021064</cx:pt>
          <cx:pt idx="110">46.636394214598049</cx:pt>
          <cx:pt idx="111">0.58267068823690704</cx:pt>
          <cx:pt idx="112">47.385703460469813</cx:pt>
          <cx:pt idx="113">66.961591780151679</cx:pt>
          <cx:pt idx="114">32.663514578408197</cx:pt>
          <cx:pt idx="115">1.7308827871272545</cx:pt>
          <cx:pt idx="116">1.515691868758916</cx:pt>
          <cx:pt idx="117">17.739479512735322</cx:pt>
          <cx:pt idx="118">0.24374830730342559</cx:pt>
          <cx:pt idx="119">2.3491478581298941</cx:pt>
          <cx:pt idx="120">-5.1999171327947096</cx:pt>
          <cx:pt idx="121">4.6567781993790973</cx:pt>
          <cx:pt idx="122">18.04893549412138</cx:pt>
          <cx:pt idx="123">0.31392888828225679</cx:pt>
          <cx:pt idx="124">-0.047650247185654568</cx:pt>
          <cx:pt idx="125">-3.4926856582907444</cx:pt>
          <cx:pt idx="126">3.9763391390075653</cx:pt>
          <cx:pt idx="127">1.9677996422182469</cx:pt>
          <cx:pt idx="128">0.077589023195038007</cx:pt>
          <cx:pt idx="129">23.740867402456082</cx:pt>
          <cx:pt idx="130">-6.4381940651738594</cx:pt>
          <cx:pt idx="131">38.4361893349311</cx:pt>
          <cx:pt idx="132">10.684167142223068</cx:pt>
          <cx:pt idx="133">-0.45200577562934385</cx:pt>
          <cx:pt idx="134">-0.78174206216886777</cx:pt>
          <cx:pt idx="135">2.0436263497354914</cx:pt>
          <cx:pt idx="136">-0.72399999999999631</cx:pt>
          <cx:pt idx="137">0.33668144324112004</cx:pt>
          <cx:pt idx="138">27.602456090247031</cx:pt>
          <cx:pt idx="139">11.518639983936813</cx:pt>
          <cx:pt idx="140">1.1835831062670377</cx:pt>
          <cx:pt idx="141">-0.94059063559028333</cx:pt>
          <cx:pt idx="142">19.012310128860406</cx:pt>
          <cx:pt idx="143">-3.6527480371163503</cx:pt>
          <cx:pt idx="144">0.53004786385392821</cx:pt>
          <cx:pt idx="145">0.53629428204548191</cx:pt>
          <cx:pt idx="146">-4.5359385903698417</cx:pt>
          <cx:pt idx="147">-3.141176470588241</cx:pt>
          <cx:pt idx="148">4.0846148493493715</cx:pt>
          <cx:pt idx="149">-0.87755666113875386</cx:pt>
          <cx:pt idx="150">-0.11770171906458672</cx:pt>
        </cx:lvl>
      </cx:numDim>
    </cx:data>
    <cx:data id="1">
      <cx:numDim type="val">
        <cx:f>[Brennan_RapidVconventional.xlsx]DTBprocessed!$S$157:$S$307</cx:f>
        <cx:lvl ptCount="151" formatCode="0.00">
          <cx:pt idx="0">-0.86127372715981976</cx:pt>
          <cx:pt idx="1">40.706214689265536</cx:pt>
          <cx:pt idx="2">32.409709116938892</cx:pt>
          <cx:pt idx="3">18.51605611329034</cx:pt>
          <cx:pt idx="4">5.0207691276966253</cx:pt>
          <cx:pt idx="5">1.2126079100582252</cx:pt>
          <cx:pt idx="6">2.0232157431758364</cx:pt>
          <cx:pt idx="7">1.8187352045992626</cx:pt>
          <cx:pt idx="8">4.3472094177717864</cx:pt>
          <cx:pt idx="9">38.741752625220691</cx:pt>
          <cx:pt idx="10">-0.82746926663840537</cx:pt>
          <cx:pt idx="11">-0.38718090175032849</cx:pt>
          <cx:pt idx="12">4.3970175798618376</cx:pt>
          <cx:pt idx="13">9.9314929118903787</cx:pt>
          <cx:pt idx="14">3.1925891119017216</cx:pt>
          <cx:pt idx="15">1.4704303960502354</cx:pt>
          <cx:pt idx="16">0.62499999999999278</cx:pt>
          <cx:pt idx="17">8.7719755661501857</cx:pt>
          <cx:pt idx="18">-1.1909795630725848</cx:pt>
          <cx:pt idx="19">-1.7113449573699955</cx:pt>
          <cx:pt idx="20">3.4607357939299961</cx:pt>
          <cx:pt idx="21">-2.1869646182495268</cx:pt>
          <cx:pt idx="22">17.818612097167119</cx:pt>
          <cx:pt idx="23">8.7677660659639631</cx:pt>
          <cx:pt idx="24">2.3159250020117463</cx:pt>
          <cx:pt idx="25">14.112363091954922</cx:pt>
          <cx:pt idx="26">-3.8742511487233253</cx:pt>
          <cx:pt idx="27">-3.700232378001548</cx:pt>
          <cx:pt idx="28">1.2492639842983333</cx:pt>
          <cx:pt idx="29">-2.3439026556532436</cx:pt>
          <cx:pt idx="30">-2.2115186482588123</cx:pt>
          <cx:pt idx="31">1.7714377820760814</cx:pt>
          <cx:pt idx="32">17.122598028788204</cx:pt>
          <cx:pt idx="33">1.5947480482611802</cx:pt>
          <cx:pt idx="34">-5.480108149864817</cx:pt>
          <cx:pt idx="35">2.9734073641145562</cx:pt>
          <cx:pt idx="36">-3.2278082561381303</cx:pt>
          <cx:pt idx="37">1.2638964825952357</cx:pt>
          <cx:pt idx="38">-3.4509639564124117</cx:pt>
          <cx:pt idx="39">-0.57729794571900173</cx:pt>
          <cx:pt idx="40">-0.10441472797216524</cx:pt>
          <cx:pt idx="41">5.2038705864972705</cx:pt>
          <cx:pt idx="42">-1.185978312760015</cx:pt>
          <cx:pt idx="43">-1.3460171669126959</cx:pt>
          <cx:pt idx="44">0.33971136695314208</cx:pt>
          <cx:pt idx="45">-2.0948217888365899</cx:pt>
          <cx:pt idx="46">-2.6764333004648542</cx:pt>
          <cx:pt idx="47">0.69316486794771348</cx:pt>
          <cx:pt idx="48">4.0369561259785103</cx:pt>
          <cx:pt idx="49">2.1996523012169629</cx:pt>
          <cx:pt idx="50">19.779913636996795</cx:pt>
          <cx:pt idx="51">29.130490133672826</cx:pt>
          <cx:pt idx="52">53.478162137612593</cx:pt>
          <cx:pt idx="53">2.6671195652173907</cx:pt>
          <cx:pt idx="54">2.5956916503471672</cx:pt>
          <cx:pt idx="55">-1.5480933409220181</cx:pt>
          <cx:pt idx="56">1.0604786727201305</cx:pt>
          <cx:pt idx="57">26.675008938148014</cx:pt>
          <cx:pt idx="58">5.9472515994255062</cx:pt>
          <cx:pt idx="59">-2.2433422433422399</cx:pt>
          <cx:pt idx="60">0.78803237145425276</cx:pt>
          <cx:pt idx="61">33.161302731119378</cx:pt>
          <cx:pt idx="62">-3.9199138085832361</cx:pt>
          <cx:pt idx="63">4.2545141874462615</cx:pt>
          <cx:pt idx="64">0.37847866419294318</cx:pt>
          <cx:pt idx="65">14.03238651446774</cx:pt>
          <cx:pt idx="66">35.143846153846155</cx:pt>
          <cx:pt idx="67">-0.11518503734960264</cx:pt>
          <cx:pt idx="68">-2.4742461135044085</cx:pt>
          <cx:pt idx="69">6.4194603434178239</cx:pt>
          <cx:pt idx="70">3.6127870328680678</cx:pt>
          <cx:pt idx="71">15.509862435402876</cx:pt>
          <cx:pt idx="72">9.4111700783421632</cx:pt>
          <cx:pt idx="73">-6.4079701574015173</cx:pt>
          <cx:pt idx="74">-4.2326523721087375</cx:pt>
          <cx:pt idx="75">2.7727272727272658</cx:pt>
          <cx:pt idx="76">1.612284069097877</cx:pt>
          <cx:pt idx="77">4.4721653323403432</cx:pt>
          <cx:pt idx="78">0.19108841141245558</cx:pt>
          <cx:pt idx="79">-3.0804156116301384</cx:pt>
          <cx:pt idx="80">-6.0198818343805733</cx:pt>
          <cx:pt idx="81">-2.7506026907224426</cx:pt>
          <cx:pt idx="82">10.394546581284855</cx:pt>
          <cx:pt idx="83">-7.1519845111326337</cx:pt>
          <cx:pt idx="84">12.570507050705082</cx:pt>
          <cx:pt idx="85">10.414757236498648</cx:pt>
          <cx:pt idx="86">-10.143907898944672</cx:pt>
          <cx:pt idx="87">-3.3749208932284747</cx:pt>
          <cx:pt idx="88">-0.90645831056714654</cx:pt>
          <cx:pt idx="89">-3.2965785633209026</cx:pt>
          <cx:pt idx="90">-5.8520412996116296</cx:pt>
          <cx:pt idx="91">-4.072077869841535</cx:pt>
          <cx:pt idx="92">-0.30689674554550256</cx:pt>
          <cx:pt idx="93">-1.2837902378450499</cx:pt>
          <cx:pt idx="94">-2.7894506456555055</cx:pt>
          <cx:pt idx="95">-8.7945159672295574</cx:pt>
          <cx:pt idx="96">31.839803439803443</cx:pt>
          <cx:pt idx="97">-5.2217727627563804</cx:pt>
          <cx:pt idx="98">2.0452626245566647</cx:pt>
          <cx:pt idx="99">74.958511087150157</cx:pt>
          <cx:pt idx="100">-2.0331532191592467</cx:pt>
          <cx:pt idx="101">-6.4099106691387311</cx:pt>
          <cx:pt idx="102">-3.6332858161083363</cx:pt>
          <cx:pt idx="103">70.633920534910629</cx:pt>
          <cx:pt idx="104">-4.4130686198920772</cx:pt>
          <cx:pt idx="105">-5.8627319042583874</cx:pt>
          <cx:pt idx="106">7.8746684350132616</cx:pt>
          <cx:pt idx="107">-5.3939136888983139</cx:pt>
          <cx:pt idx="108">-2.8297997644287549</cx:pt>
          <cx:pt idx="109">1.5908929206687941</cx:pt>
          <cx:pt idx="110">62.18518982583636</cx:pt>
          <cx:pt idx="111">71.500596658711217</cx:pt>
          <cx:pt idx="112">75.886469673405912</cx:pt>
          <cx:pt idx="113">0.23792706048552328</cx:pt>
          <cx:pt idx="114">4.9026248941575057</cx:pt>
          <cx:pt idx="115">-0.91403545949000875</cx:pt>
          <cx:pt idx="116">2.5137498872959951</cx:pt>
          <cx:pt idx="117">0.46673095467694486</cx:pt>
          <cx:pt idx="118">36.315081500237376</cx:pt>
          <cx:pt idx="119">3.5184358539415999</cx:pt>
          <cx:pt idx="120">4.265962404846972</cx:pt>
          <cx:pt idx="121">18.251705320600266</cx:pt>
          <cx:pt idx="122">0.79380271579828809</cx:pt>
          <cx:pt idx="123">13.073639274279616</cx:pt>
          <cx:pt idx="124">1.1732034521062993</cx:pt>
          <cx:pt idx="125">5.0477651488738502</cx:pt>
          <cx:pt idx="126">16.300987374554872</cx:pt>
          <cx:pt idx="127">11.274116523400188</cx:pt>
          <cx:pt idx="128">15.349040903915215</cx:pt>
          <cx:pt idx="129">76.263357079252003</cx:pt>
          <cx:pt idx="130">47.050409144856026</cx:pt>
          <cx:pt idx="131">6.4920123986647509</cx:pt>
          <cx:pt idx="132">2.2110776774768746</cx:pt>
          <cx:pt idx="133">3.6979417636125853</cx:pt>
          <cx:pt idx="134">1.9520410618333581</cx:pt>
          <cx:pt idx="135">1.7876441423876062</cx:pt>
          <cx:pt idx="136">-0.79507808802650204</cx:pt>
          <cx:pt idx="137">13.265931372549014</cx:pt>
          <cx:pt idx="138">10.066821097647907</cx:pt>
          <cx:pt idx="139">24.460730267851353</cx:pt>
          <cx:pt idx="140">23.182855167646036</cx:pt>
          <cx:pt idx="141">5.0873234728837726</cx:pt>
          <cx:pt idx="142">4.7876961262299433</cx:pt>
          <cx:pt idx="143">2.620623002007286</cx:pt>
          <cx:pt idx="144">13.081869661195897</cx:pt>
          <cx:pt idx="145">1.2022769089236476</cx:pt>
          <cx:pt idx="146">6.9053356282271912</cx:pt>
          <cx:pt idx="147">4.8053791052844916</cx:pt>
          <cx:pt idx="148">3.7992070677114311</cx:pt>
          <cx:pt idx="149">-5.1400076716532546</cx:pt>
          <cx:pt idx="150">10.462476947084694</cx:pt>
        </cx:lvl>
      </cx:numDim>
    </cx:data>
  </cx:chartData>
  <cx:chart>
    <cx:title pos="t" align="ctr" overlay="0">
      <cx:tx>
        <cx:txData>
          <cx:v>Discordance in fast vs conventional ablations</cx:v>
        </cx:txData>
      </cx:tx>
      <cx:txPr>
        <a:bodyPr rot="0" spcFirstLastPara="1" vertOverflow="ellipsis" vert="horz" wrap="square" lIns="0" tIns="0" rIns="0" bIns="0" anchor="ctr" anchorCtr="1"/>
        <a:lstStyle/>
        <a:p>
          <a:pPr algn="ctr">
            <a:defRPr/>
          </a:pPr>
          <a:r>
            <a:rPr lang="en-US"/>
            <a:t>Discordance in fast vs conventional ablations</a:t>
          </a:r>
        </a:p>
      </cx:txPr>
    </cx:title>
    <cx:plotArea>
      <cx:plotAreaRegion>
        <cx:series layoutId="boxWhisker" uniqueId="{319424F6-195C-456A-B371-635F4E45F525}">
          <cx:tx>
            <cx:txData>
              <cx:f/>
              <cx:v>fast</cx:v>
            </cx:txData>
          </cx:tx>
          <cx:dataId val="0"/>
          <cx:layoutPr>
            <cx:visibility meanLine="0" meanMarker="1" nonoutliers="0" outliers="1"/>
            <cx:statistics quartileMethod="exclusive"/>
          </cx:layoutPr>
        </cx:series>
        <cx:series layoutId="boxWhisker" uniqueId="{00000002-9673-4316-AEE2-4F9BF0D1439B}">
          <cx:tx>
            <cx:txData>
              <cx:f/>
              <cx:v>Discordance in %</cx:v>
            </cx:txData>
          </cx:tx>
          <cx:dataId val="1"/>
          <cx:layoutPr>
            <cx:statistics quartileMethod="exclusive"/>
          </cx:layoutPr>
        </cx:series>
      </cx:plotAreaRegion>
      <cx:axis id="0">
        <cx:catScaling gapWidth="1"/>
        <cx:title>
          <cx:tx>
            <cx:txData>
              <cx:v>fast ablations (left) vs conventional analyses (right)</cx:v>
            </cx:txData>
          </cx:tx>
          <cx:txPr>
            <a:bodyPr spcFirstLastPara="1" vertOverflow="ellipsis" wrap="square" lIns="0" tIns="0" rIns="0" bIns="0" anchor="ctr" anchorCtr="1"/>
            <a:lstStyle/>
            <a:p>
              <a:pPr algn="ctr">
                <a:defRPr/>
              </a:pPr>
              <a:r>
                <a:rPr lang="en-US"/>
                <a:t>fast ablations (left) vs conventional analyses (right)</a:t>
              </a:r>
            </a:p>
          </cx:txPr>
        </cx:title>
        <cx:tickLabels/>
      </cx:axis>
      <cx:axis id="1">
        <cx:valScaling/>
        <cx:title>
          <cx:tx>
            <cx:txData>
              <cx:v>Discordance in %</cx:v>
            </cx:txData>
          </cx:tx>
          <cx:txPr>
            <a:bodyPr spcFirstLastPara="1" vertOverflow="ellipsis" wrap="square" lIns="0" tIns="0" rIns="0" bIns="0" anchor="ctr" anchorCtr="1"/>
            <a:lstStyle/>
            <a:p>
              <a:pPr algn="ctr">
                <a:defRPr/>
              </a:pPr>
              <a:r>
                <a:rPr lang="en-US"/>
                <a:t>Discordance in %</a:t>
              </a:r>
            </a:p>
          </cx:txPr>
        </cx:title>
        <cx:majorGridlines/>
        <cx:tickLabels/>
        <cx:numFmt formatCode="#,##0" sourceLinked="0"/>
      </cx:axis>
    </cx:plotArea>
  </cx:chart>
  <cx:spPr>
    <a:solidFill>
      <a:schemeClr val="lt1"/>
    </a:solidFill>
    <a:ln w="12700" cap="flat" cmpd="sng" algn="ctr">
      <a:solidFill>
        <a:schemeClr val="dk1"/>
      </a:solidFill>
      <a:prstDash val="solid"/>
      <a:miter lim="800000"/>
    </a:ln>
    <a:effectLst/>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22</Pages>
  <Words>4685</Words>
  <Characters>32363</Characters>
  <Application>Microsoft Office Word</Application>
  <DocSecurity>0</DocSecurity>
  <Lines>269</Lines>
  <Paragraphs>73</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36975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Jennifer Olivarez</cp:lastModifiedBy>
  <cp:revision>13</cp:revision>
  <cp:lastPrinted>2014-09-30T16:49:00Z</cp:lastPrinted>
  <dcterms:created xsi:type="dcterms:W3CDTF">2020-11-22T07:28:00Z</dcterms:created>
  <dcterms:modified xsi:type="dcterms:W3CDTF">2021-01-06T21:21:00Z</dcterms:modified>
</cp:coreProperties>
</file>