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2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135"/>
        <w:gridCol w:w="4025"/>
        <w:gridCol w:w="4478"/>
      </w:tblGrid>
      <w:tr w:rsidR="003851BA"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b/>
              </w:rPr>
            </w:pPr>
            <w:r>
              <w:rPr>
                <w:b/>
              </w:rPr>
              <w:t>Parameter</w:t>
            </w:r>
          </w:p>
        </w:tc>
        <w:tc>
          <w:tcPr>
            <w:tcW w:w="40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b/>
              </w:rPr>
            </w:pPr>
            <w:r>
              <w:rPr>
                <w:b/>
              </w:rPr>
              <w:t>Meaning</w:t>
            </w:r>
          </w:p>
        </w:tc>
        <w:tc>
          <w:tcPr>
            <w:tcW w:w="44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b/>
              </w:rPr>
            </w:pPr>
            <w:r>
              <w:rPr>
                <w:b/>
              </w:rPr>
              <w:t>Value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rPr>
                <w:i/>
                <w:iCs/>
              </w:rPr>
              <w:t>U</w:t>
            </w:r>
            <w:r>
              <w:rPr>
                <w:i/>
                <w:iCs/>
                <w:vertAlign w:val="subscript"/>
              </w:rPr>
              <w:t>S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Half spreading rate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19 mm.yr</w:t>
            </w:r>
            <w:r>
              <w:rPr>
                <w:vertAlign w:val="superscript"/>
              </w:rPr>
              <w:t>-1</w:t>
            </w:r>
            <w:r>
              <w:t xml:space="preserve"> (i.e. 6.025×10</w:t>
            </w:r>
            <w:r>
              <w:rPr>
                <w:vertAlign w:val="superscript"/>
              </w:rPr>
              <w:t>-10</w:t>
            </w:r>
            <w:r>
              <w:t xml:space="preserve"> m.s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M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Magmatic fraction of plate separation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0.6 – 0.8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s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Sedimentation rate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0 – 1 mm.yr</w:t>
            </w:r>
            <w:r>
              <w:rPr>
                <w:vertAlign w:val="superscript"/>
              </w:rPr>
              <w:t>-1</w:t>
            </w:r>
            <w:r>
              <w:t xml:space="preserve"> (i.e. 0 – 3.18×10</w:t>
            </w:r>
            <w:r>
              <w:rPr>
                <w:vertAlign w:val="superscript"/>
              </w:rPr>
              <w:t>-11</w:t>
            </w:r>
            <w:r>
              <w:t xml:space="preserve"> m.s</w:t>
            </w:r>
            <w:r>
              <w:rPr>
                <w:vertAlign w:val="superscript"/>
              </w:rPr>
              <w:t>-1</w:t>
            </w:r>
            <w:r>
              <w:t>)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rPr>
                <w:i/>
                <w:iCs/>
              </w:rPr>
              <w:t>ρ</w:t>
            </w:r>
            <w:r>
              <w:rPr>
                <w:i/>
                <w:iCs/>
                <w:vertAlign w:val="subscript"/>
              </w:rPr>
              <w:t>C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Density of the crust</w:t>
            </w:r>
            <w:r>
              <w:rPr>
                <w:vertAlign w:val="superscript"/>
              </w:rPr>
              <w:t>a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2850 kg.m</w:t>
            </w:r>
            <w:r>
              <w:rPr>
                <w:vertAlign w:val="superscript"/>
              </w:rPr>
              <w:t>-3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rPr>
                <w:i/>
                <w:iCs/>
              </w:rPr>
              <w:t>ρ</w:t>
            </w:r>
            <w:r>
              <w:rPr>
                <w:i/>
                <w:iCs/>
                <w:vertAlign w:val="subscript"/>
              </w:rPr>
              <w:t>M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Density of the mantle</w:t>
            </w:r>
            <w:r>
              <w:rPr>
                <w:vertAlign w:val="superscript"/>
              </w:rPr>
              <w:t>a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3300 kg.m</w:t>
            </w:r>
            <w:r>
              <w:rPr>
                <w:vertAlign w:val="superscript"/>
              </w:rPr>
              <w:t>-3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rPr>
                <w:i/>
                <w:iCs/>
              </w:rPr>
              <w:t>ρ</w:t>
            </w:r>
            <w:r>
              <w:rPr>
                <w:i/>
                <w:iCs/>
                <w:vertAlign w:val="subscript"/>
              </w:rPr>
              <w:t>SED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Density of sediments</w:t>
            </w:r>
            <w:r>
              <w:rPr>
                <w:vertAlign w:val="superscript"/>
              </w:rPr>
              <w:t>a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2400 kg.m</w:t>
            </w:r>
            <w:r>
              <w:rPr>
                <w:vertAlign w:val="superscript"/>
              </w:rPr>
              <w:t>-3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E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Young’s modulus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4.85×10</w:t>
            </w:r>
            <w:r>
              <w:rPr>
                <w:vertAlign w:val="superscript"/>
              </w:rPr>
              <w:t>5</w:t>
            </w:r>
            <w:r>
              <w:t xml:space="preserve"> Pa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λ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Lamé’s first parameter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3.0×10</w:t>
            </w:r>
            <w:r>
              <w:rPr>
                <w:vertAlign w:val="superscript"/>
              </w:rPr>
              <w:t>10</w:t>
            </w:r>
            <w:r>
              <w:t xml:space="preserve"> Pa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µ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Shear modulus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3.0×10</w:t>
            </w:r>
            <w:r>
              <w:rPr>
                <w:vertAlign w:val="superscript"/>
              </w:rPr>
              <w:t>10</w:t>
            </w:r>
            <w:r>
              <w:t xml:space="preserve"> Pa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rPr>
                <w:i/>
                <w:iCs/>
              </w:rPr>
              <w:t>C</w:t>
            </w:r>
            <w:r>
              <w:rPr>
                <w:i/>
                <w:iCs/>
                <w:vertAlign w:val="subscript"/>
              </w:rPr>
              <w:t>MAX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Maximum cohesion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25×10</w:t>
            </w:r>
            <w:r>
              <w:rPr>
                <w:vertAlign w:val="superscript"/>
              </w:rPr>
              <w:t>6</w:t>
            </w:r>
            <w:r>
              <w:t xml:space="preserve"> Pa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rPr>
                <w:i/>
                <w:iCs/>
              </w:rPr>
              <w:t>ε</w:t>
            </w:r>
            <w:r>
              <w:rPr>
                <w:i/>
                <w:iCs/>
                <w:vertAlign w:val="subscript"/>
              </w:rPr>
              <w:t>CRIT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Critical plastic strain for cohesion loss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0.25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  <w:rPr>
                <w:i/>
                <w:iCs/>
              </w:rPr>
            </w:pPr>
            <w:r>
              <w:rPr>
                <w:i/>
                <w:iCs/>
              </w:rPr>
              <w:t>Φ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Internal friction angle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30°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rPr>
                <w:i/>
                <w:iCs/>
              </w:rPr>
              <w:t>τ</w:t>
            </w:r>
            <w:r>
              <w:rPr>
                <w:i/>
                <w:iCs/>
                <w:vertAlign w:val="subscript"/>
              </w:rPr>
              <w:t>HEAL</w:t>
            </w: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Healing time (linear healing parameter)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10</w:t>
            </w:r>
            <w:r>
              <w:rPr>
                <w:vertAlign w:val="superscript"/>
              </w:rPr>
              <w:t>12</w:t>
            </w:r>
            <w:r>
              <w:t xml:space="preserve"> s (i.e. ~31,700 yrs)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3851BA">
            <w:pPr>
              <w:pStyle w:val="Contenudetableau"/>
              <w:rPr>
                <w:i/>
                <w:iCs/>
              </w:rPr>
            </w:pP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Vertical resolution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200 m from 0 to 5 km depth</w:t>
            </w:r>
          </w:p>
          <w:p w:rsidR="003851BA" w:rsidRDefault="00105E9E">
            <w:pPr>
              <w:pStyle w:val="Contenudetableau"/>
            </w:pPr>
            <w:r>
              <w:t>500 m below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3851BA">
            <w:pPr>
              <w:pStyle w:val="Contenudetableau"/>
              <w:rPr>
                <w:i/>
                <w:iCs/>
              </w:rPr>
            </w:pP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Horizontal resolution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240 m within 12 km on either side of the axis</w:t>
            </w:r>
          </w:p>
          <w:p w:rsidR="003851BA" w:rsidRDefault="00105E9E">
            <w:pPr>
              <w:pStyle w:val="Contenudetableau"/>
            </w:pPr>
            <w:r>
              <w:t>300 m further away from the axis</w:t>
            </w:r>
          </w:p>
        </w:tc>
      </w:tr>
      <w:tr w:rsidR="003851BA"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3851BA">
            <w:pPr>
              <w:pStyle w:val="Contenudetableau"/>
              <w:rPr>
                <w:i/>
                <w:iCs/>
              </w:rPr>
            </w:pPr>
          </w:p>
        </w:tc>
        <w:tc>
          <w:tcPr>
            <w:tcW w:w="402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Topography diffusivity</w:t>
            </w:r>
          </w:p>
        </w:tc>
        <w:tc>
          <w:tcPr>
            <w:tcW w:w="44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851BA" w:rsidRDefault="00105E9E">
            <w:pPr>
              <w:pStyle w:val="Contenudetableau"/>
            </w:pPr>
            <w:r>
              <w:t>10</w:t>
            </w:r>
            <w:r>
              <w:rPr>
                <w:vertAlign w:val="superscript"/>
              </w:rPr>
              <w:t>-6</w:t>
            </w:r>
            <w:r>
              <w:t xml:space="preserve"> m</w:t>
            </w:r>
            <w:r>
              <w:rPr>
                <w:vertAlign w:val="superscript"/>
              </w:rPr>
              <w:t>2</w:t>
            </w:r>
            <w:r>
              <w:t>.s</w:t>
            </w:r>
            <w:r>
              <w:rPr>
                <w:vertAlign w:val="superscript"/>
              </w:rPr>
              <w:t>-1</w:t>
            </w:r>
          </w:p>
        </w:tc>
      </w:tr>
    </w:tbl>
    <w:p w:rsidR="003851BA" w:rsidRDefault="003851BA">
      <w:pPr>
        <w:pStyle w:val="Standard"/>
        <w:rPr>
          <w:rFonts w:hint="eastAsia"/>
        </w:rPr>
      </w:pPr>
    </w:p>
    <w:p w:rsidR="00A34CB2" w:rsidRPr="00A34CB2" w:rsidRDefault="00A34CB2" w:rsidP="00A34CB2">
      <w:pPr>
        <w:rPr>
          <w:rFonts w:hint="eastAsia"/>
        </w:rPr>
      </w:pPr>
      <w:r w:rsidRPr="00A34CB2">
        <w:t>Table S1. Summary of key input parameters. In the input files provided as part of the</w:t>
      </w:r>
    </w:p>
    <w:p w:rsidR="00A34CB2" w:rsidRPr="00A34CB2" w:rsidRDefault="00A34CB2" w:rsidP="00A34CB2">
      <w:pPr>
        <w:rPr>
          <w:rFonts w:hint="eastAsia"/>
        </w:rPr>
      </w:pPr>
      <w:r w:rsidRPr="00A34CB2">
        <w:t>supplementary material, all parameters are in international system units, unless specified otherwise.</w:t>
      </w:r>
    </w:p>
    <w:p w:rsidR="00A34CB2" w:rsidRPr="00A34CB2" w:rsidRDefault="00A34CB2" w:rsidP="00A34CB2">
      <w:pPr>
        <w:rPr>
          <w:rFonts w:hint="eastAsia"/>
        </w:rPr>
      </w:pPr>
      <w:r w:rsidRPr="00A34CB2">
        <w:t>In particular, velocities are in m.s</w:t>
      </w:r>
      <w:r w:rsidRPr="00A34CB2">
        <w:rPr>
          <w:vertAlign w:val="superscript"/>
        </w:rPr>
        <w:t>-1</w:t>
      </w:r>
      <w:r w:rsidRPr="00A34CB2">
        <w:t xml:space="preserve"> and not in mm.yr</w:t>
      </w:r>
      <w:r w:rsidRPr="00A34CB2">
        <w:rPr>
          <w:vertAlign w:val="superscript"/>
        </w:rPr>
        <w:t>-1</w:t>
      </w:r>
      <w:r w:rsidRPr="00A34CB2">
        <w:t>.</w:t>
      </w:r>
    </w:p>
    <w:p w:rsidR="00A34CB2" w:rsidRDefault="00A34CB2" w:rsidP="00A34CB2">
      <w:pPr>
        <w:rPr>
          <w:rFonts w:hint="eastAsia"/>
        </w:rPr>
      </w:pPr>
      <w:r w:rsidRPr="00105E9E">
        <w:rPr>
          <w:vertAlign w:val="superscript"/>
        </w:rPr>
        <w:t>a</w:t>
      </w:r>
      <w:r w:rsidRPr="00A34CB2">
        <w:t>In each input file, the parameter for each phase is not density itself but density difference with respect to water (e.g. the input parameter for mantle density is not 3300 kg.m</w:t>
      </w:r>
      <w:r w:rsidRPr="00105E9E">
        <w:rPr>
          <w:vertAlign w:val="superscript"/>
        </w:rPr>
        <w:t>-3</w:t>
      </w:r>
      <w:r w:rsidRPr="00A34CB2">
        <w:t xml:space="preserve"> but 2300 kg.m</w:t>
      </w:r>
      <w:r w:rsidRPr="00A34CB2">
        <w:rPr>
          <w:vertAlign w:val="superscript"/>
        </w:rPr>
        <w:t>-3</w:t>
      </w:r>
      <w:r w:rsidRPr="00A34CB2">
        <w:t>).</w:t>
      </w:r>
    </w:p>
    <w:p w:rsidR="00A34CB2" w:rsidRDefault="00A34CB2" w:rsidP="00A34CB2">
      <w:pPr>
        <w:rPr>
          <w:rFonts w:hint="eastAsia"/>
        </w:rPr>
      </w:pPr>
    </w:p>
    <w:p w:rsidR="00A34CB2" w:rsidRDefault="00A34CB2">
      <w:pPr>
        <w:pStyle w:val="Standard"/>
        <w:rPr>
          <w:rFonts w:hint="eastAsia"/>
        </w:rPr>
      </w:pPr>
    </w:p>
    <w:p w:rsidR="00105E9E" w:rsidRDefault="00105E9E">
      <w:pPr>
        <w:pStyle w:val="Standard"/>
        <w:rPr>
          <w:rFonts w:hint="eastAsia"/>
        </w:rPr>
      </w:pPr>
    </w:p>
    <w:p w:rsidR="00105E9E" w:rsidRDefault="00105E9E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</w:pPr>
    </w:p>
    <w:p w:rsidR="00D37FF9" w:rsidRDefault="00D37FF9">
      <w:pPr>
        <w:pStyle w:val="Standard"/>
        <w:rPr>
          <w:rFonts w:hint="eastAsia"/>
        </w:rPr>
      </w:pPr>
      <w:bookmarkStart w:id="0" w:name="_GoBack"/>
      <w:bookmarkEnd w:id="0"/>
    </w:p>
    <w:p w:rsidR="00105E9E" w:rsidRDefault="00105E9E">
      <w:pPr>
        <w:pStyle w:val="Standard"/>
        <w:rPr>
          <w:rFonts w:hint="eastAsia"/>
        </w:rPr>
      </w:pPr>
    </w:p>
    <w:p w:rsidR="00105E9E" w:rsidRDefault="00105E9E">
      <w:pPr>
        <w:pStyle w:val="Standard"/>
        <w:rPr>
          <w:rFonts w:hint="eastAsia"/>
        </w:rPr>
      </w:pPr>
    </w:p>
    <w:p w:rsidR="00105E9E" w:rsidRDefault="00105E9E">
      <w:pPr>
        <w:pStyle w:val="Standard"/>
        <w:rPr>
          <w:rFonts w:hint="eastAsia"/>
        </w:rPr>
      </w:pPr>
    </w:p>
    <w:p w:rsidR="00A34CB2" w:rsidRDefault="00A34CB2" w:rsidP="00A34CB2">
      <w:pPr>
        <w:rPr>
          <w:rFonts w:hint="eastAsia"/>
        </w:rPr>
      </w:pPr>
      <w:r>
        <w:t>de Sagazan, C. and Olive, J.-A., 2021, Assessing the impact of sedimentation on fault spacing at the Andaman Sea spreading center: Geology, v. 49, https://doi.org/10.1130/G48263.1</w:t>
      </w:r>
    </w:p>
    <w:p w:rsidR="00A34CB2" w:rsidRDefault="00A34CB2">
      <w:pPr>
        <w:pStyle w:val="Standard"/>
        <w:rPr>
          <w:rFonts w:hint="eastAsia"/>
        </w:rPr>
      </w:pPr>
    </w:p>
    <w:sectPr w:rsidR="00A34CB2">
      <w:pgSz w:w="11906" w:h="16838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compat>
    <w:useFELayout/>
    <w:compatSetting w:name="compatibilityMode" w:uri="http://schemas.microsoft.com/office/word" w:val="12"/>
  </w:compat>
  <w:rsids>
    <w:rsidRoot w:val="003851BA"/>
    <w:rsid w:val="00105E9E"/>
    <w:rsid w:val="003851BA"/>
    <w:rsid w:val="00A34CB2"/>
    <w:rsid w:val="00D37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Arial"/>
        <w:kern w:val="2"/>
        <w:sz w:val="24"/>
        <w:szCs w:val="24"/>
        <w:lang w:val="en-GB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re">
    <w:name w:val="Titre"/>
    <w:basedOn w:val="Standard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qFormat/>
    <w:pPr>
      <w:suppressLineNumbers/>
    </w:pPr>
  </w:style>
  <w:style w:type="paragraph" w:customStyle="1" w:styleId="Standard">
    <w:name w:val="Standard"/>
    <w:qFormat/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ontenudetableau">
    <w:name w:val="Contenu de tableau"/>
    <w:basedOn w:val="Standard"/>
    <w:qFormat/>
    <w:pPr>
      <w:suppressLineNumbers/>
    </w:pPr>
    <w:rPr>
      <w:rFonts w:ascii="Times New Roman" w:eastAsia="Times New Roman" w:hAnsi="Times New Roman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Jennifer Olivarez</cp:lastModifiedBy>
  <cp:revision>6</cp:revision>
  <dcterms:created xsi:type="dcterms:W3CDTF">2020-01-29T09:57:00Z</dcterms:created>
  <dcterms:modified xsi:type="dcterms:W3CDTF">2020-11-17T22:41:00Z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