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C6301" w14:textId="5C1A3763" w:rsidR="00D067A8" w:rsidRPr="00821CDF" w:rsidRDefault="00601965" w:rsidP="00D067A8">
      <w:pPr>
        <w:autoSpaceDE w:val="0"/>
        <w:autoSpaceDN w:val="0"/>
        <w:adjustRightInd w:val="0"/>
        <w:jc w:val="both"/>
        <w:rPr>
          <w:rFonts w:asciiTheme="majorBidi" w:hAnsiTheme="majorBidi" w:cstheme="majorBidi"/>
          <w:sz w:val="18"/>
          <w:szCs w:val="18"/>
        </w:rPr>
      </w:pPr>
      <w:r>
        <w:rPr>
          <w:rFonts w:asciiTheme="majorBidi" w:hAnsiTheme="majorBidi" w:cstheme="majorBidi"/>
          <w:noProof/>
          <w:sz w:val="18"/>
          <w:szCs w:val="18"/>
          <w:lang w:val="en-GB" w:eastAsia="en-GB"/>
        </w:rPr>
        <w:drawing>
          <wp:inline distT="0" distB="0" distL="0" distR="0" wp14:anchorId="3DE3FC47" wp14:editId="29C3EAFA">
            <wp:extent cx="5742305" cy="3440430"/>
            <wp:effectExtent l="0" t="0" r="0" b="0"/>
            <wp:docPr id="3" name="Picture 3" descr="../../Roughness_Figs/Supp/fig-1-roughne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ghness_Figs/Supp/fig-1-roughness.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2305" cy="3440430"/>
                    </a:xfrm>
                    <a:prstGeom prst="rect">
                      <a:avLst/>
                    </a:prstGeom>
                    <a:noFill/>
                    <a:ln>
                      <a:noFill/>
                    </a:ln>
                  </pic:spPr>
                </pic:pic>
              </a:graphicData>
            </a:graphic>
          </wp:inline>
        </w:drawing>
      </w:r>
    </w:p>
    <w:p w14:paraId="017EC322" w14:textId="3171A1F1" w:rsidR="00D067A8" w:rsidRDefault="00D067A8" w:rsidP="000C6E17">
      <w:pPr>
        <w:autoSpaceDE w:val="0"/>
        <w:autoSpaceDN w:val="0"/>
        <w:adjustRightInd w:val="0"/>
        <w:jc w:val="both"/>
        <w:rPr>
          <w:rFonts w:asciiTheme="majorBidi" w:hAnsiTheme="majorBidi" w:cstheme="majorBidi"/>
          <w:sz w:val="18"/>
          <w:szCs w:val="18"/>
        </w:rPr>
      </w:pPr>
      <w:r>
        <w:rPr>
          <w:rFonts w:asciiTheme="majorBidi" w:hAnsiTheme="majorBidi" w:cstheme="majorBidi"/>
          <w:sz w:val="18"/>
          <w:szCs w:val="18"/>
        </w:rPr>
        <w:t xml:space="preserve">Fig. </w:t>
      </w:r>
      <w:r w:rsidR="00A50C64">
        <w:rPr>
          <w:rFonts w:asciiTheme="majorBidi" w:hAnsiTheme="majorBidi" w:cstheme="majorBidi"/>
          <w:sz w:val="18"/>
          <w:szCs w:val="18"/>
        </w:rPr>
        <w:t>1</w:t>
      </w:r>
      <w:r w:rsidRPr="00821CDF">
        <w:rPr>
          <w:rFonts w:asciiTheme="majorBidi" w:hAnsiTheme="majorBidi" w:cstheme="majorBidi"/>
          <w:sz w:val="18"/>
          <w:szCs w:val="18"/>
        </w:rPr>
        <w:t xml:space="preserve">. </w:t>
      </w:r>
      <w:r w:rsidR="00C92C16">
        <w:rPr>
          <w:rFonts w:asciiTheme="majorBidi" w:hAnsiTheme="majorBidi" w:cstheme="majorBidi"/>
          <w:sz w:val="18"/>
          <w:szCs w:val="18"/>
        </w:rPr>
        <w:t xml:space="preserve">a) </w:t>
      </w:r>
      <w:r w:rsidR="008E7CB5">
        <w:rPr>
          <w:rFonts w:asciiTheme="majorBidi" w:hAnsiTheme="majorBidi" w:cstheme="majorBidi"/>
          <w:sz w:val="18"/>
          <w:szCs w:val="18"/>
        </w:rPr>
        <w:t xml:space="preserve">A </w:t>
      </w:r>
      <w:r w:rsidR="000C6E17">
        <w:rPr>
          <w:rFonts w:asciiTheme="majorBidi" w:hAnsiTheme="majorBidi" w:cstheme="majorBidi"/>
          <w:sz w:val="18"/>
          <w:szCs w:val="18"/>
        </w:rPr>
        <w:t xml:space="preserve">structure contour </w:t>
      </w:r>
      <w:r w:rsidR="003C6EEA">
        <w:rPr>
          <w:rFonts w:asciiTheme="majorBidi" w:hAnsiTheme="majorBidi" w:cstheme="majorBidi"/>
          <w:sz w:val="18"/>
          <w:szCs w:val="18"/>
        </w:rPr>
        <w:t xml:space="preserve">map displaying part of the dome structure where the directional boreholes </w:t>
      </w:r>
      <w:r w:rsidR="00554D60">
        <w:rPr>
          <w:rFonts w:asciiTheme="majorBidi" w:hAnsiTheme="majorBidi" w:cstheme="majorBidi"/>
          <w:sz w:val="18"/>
          <w:szCs w:val="18"/>
        </w:rPr>
        <w:t xml:space="preserve">(X-01, X-02, X-03 and X-04) </w:t>
      </w:r>
      <w:r w:rsidR="003C6EEA">
        <w:rPr>
          <w:rFonts w:asciiTheme="majorBidi" w:hAnsiTheme="majorBidi" w:cstheme="majorBidi"/>
          <w:sz w:val="18"/>
          <w:szCs w:val="18"/>
        </w:rPr>
        <w:t xml:space="preserve">are drilled into the Arab reservoirs, b) 3-D view of the directional boreholes, c) fracture strikes and dips </w:t>
      </w:r>
      <w:r w:rsidR="00554D60">
        <w:rPr>
          <w:rFonts w:asciiTheme="majorBidi" w:hAnsiTheme="majorBidi" w:cstheme="majorBidi"/>
          <w:sz w:val="18"/>
          <w:szCs w:val="18"/>
        </w:rPr>
        <w:t xml:space="preserve">measured </w:t>
      </w:r>
      <w:r w:rsidR="003C6EEA">
        <w:rPr>
          <w:rFonts w:asciiTheme="majorBidi" w:hAnsiTheme="majorBidi" w:cstheme="majorBidi"/>
          <w:sz w:val="18"/>
          <w:szCs w:val="18"/>
        </w:rPr>
        <w:t xml:space="preserve">from </w:t>
      </w:r>
      <w:r w:rsidR="00554D60">
        <w:rPr>
          <w:rFonts w:asciiTheme="majorBidi" w:hAnsiTheme="majorBidi" w:cstheme="majorBidi"/>
          <w:sz w:val="18"/>
          <w:szCs w:val="18"/>
        </w:rPr>
        <w:t>the borehole images</w:t>
      </w:r>
      <w:r w:rsidR="003C6EEA">
        <w:rPr>
          <w:rFonts w:asciiTheme="majorBidi" w:hAnsiTheme="majorBidi" w:cstheme="majorBidi"/>
          <w:sz w:val="18"/>
          <w:szCs w:val="18"/>
        </w:rPr>
        <w:t xml:space="preserve">. </w:t>
      </w:r>
      <w:r w:rsidR="00554D60">
        <w:rPr>
          <w:rFonts w:asciiTheme="majorBidi" w:hAnsiTheme="majorBidi" w:cstheme="majorBidi"/>
          <w:sz w:val="18"/>
          <w:szCs w:val="18"/>
        </w:rPr>
        <w:t xml:space="preserve">Fracture strikes </w:t>
      </w:r>
      <w:r w:rsidR="00575CD6">
        <w:rPr>
          <w:rFonts w:asciiTheme="majorBidi" w:hAnsiTheme="majorBidi" w:cstheme="majorBidi"/>
          <w:sz w:val="18"/>
          <w:szCs w:val="18"/>
        </w:rPr>
        <w:t>indicate that the boreholes missed or reduced number of the fractures parallel to the boreholes, but the strike measurements</w:t>
      </w:r>
      <w:r w:rsidR="00554D60">
        <w:rPr>
          <w:rFonts w:asciiTheme="majorBidi" w:hAnsiTheme="majorBidi" w:cstheme="majorBidi"/>
          <w:sz w:val="18"/>
          <w:szCs w:val="18"/>
        </w:rPr>
        <w:t xml:space="preserve"> from the 4 boreholes follow the NW-SE, E-W, and NE-SW </w:t>
      </w:r>
      <w:r w:rsidR="00575CD6">
        <w:rPr>
          <w:rFonts w:asciiTheme="majorBidi" w:hAnsiTheme="majorBidi" w:cstheme="majorBidi"/>
          <w:sz w:val="18"/>
          <w:szCs w:val="18"/>
        </w:rPr>
        <w:t>fracture</w:t>
      </w:r>
      <w:r w:rsidR="00554D60">
        <w:rPr>
          <w:rFonts w:asciiTheme="majorBidi" w:hAnsiTheme="majorBidi" w:cstheme="majorBidi"/>
          <w:sz w:val="18"/>
          <w:szCs w:val="18"/>
        </w:rPr>
        <w:t xml:space="preserve"> systems that were previously recognized in the carbonate reservoirs in Eastern Arabia. </w:t>
      </w:r>
      <w:r w:rsidR="003C6EEA">
        <w:rPr>
          <w:rFonts w:asciiTheme="majorBidi" w:hAnsiTheme="majorBidi" w:cstheme="majorBidi"/>
          <w:sz w:val="18"/>
          <w:szCs w:val="18"/>
        </w:rPr>
        <w:t xml:space="preserve">Fracture roughness is studied from the core obtained from X-01 and X-03. </w:t>
      </w:r>
    </w:p>
    <w:p w14:paraId="73B56BD2" w14:textId="05D859DB" w:rsidR="00C92C16" w:rsidRPr="00821CDF" w:rsidRDefault="00C004EB" w:rsidP="00C92C16">
      <w:pPr>
        <w:autoSpaceDE w:val="0"/>
        <w:autoSpaceDN w:val="0"/>
        <w:adjustRightInd w:val="0"/>
        <w:jc w:val="both"/>
        <w:rPr>
          <w:rFonts w:asciiTheme="majorBidi" w:hAnsiTheme="majorBidi" w:cstheme="majorBidi"/>
          <w:sz w:val="18"/>
          <w:szCs w:val="18"/>
        </w:rPr>
      </w:pPr>
      <w:r>
        <w:rPr>
          <w:rFonts w:asciiTheme="majorBidi" w:hAnsiTheme="majorBidi" w:cstheme="majorBidi"/>
          <w:noProof/>
          <w:sz w:val="18"/>
          <w:szCs w:val="18"/>
          <w:lang w:val="en-GB" w:eastAsia="en-GB"/>
        </w:rPr>
        <w:lastRenderedPageBreak/>
        <w:drawing>
          <wp:inline distT="0" distB="0" distL="0" distR="0" wp14:anchorId="55B5049A" wp14:editId="0ECDBD00">
            <wp:extent cx="5718810" cy="7571105"/>
            <wp:effectExtent l="0" t="0" r="0" b="0"/>
            <wp:docPr id="5" name="Picture 5" descr="../../../../../03_Figures/ma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_Figures/master.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7571105"/>
                    </a:xfrm>
                    <a:prstGeom prst="rect">
                      <a:avLst/>
                    </a:prstGeom>
                    <a:noFill/>
                    <a:ln>
                      <a:noFill/>
                    </a:ln>
                  </pic:spPr>
                </pic:pic>
              </a:graphicData>
            </a:graphic>
          </wp:inline>
        </w:drawing>
      </w:r>
    </w:p>
    <w:p w14:paraId="11F6576B" w14:textId="7E7CABA7" w:rsidR="00C92C16" w:rsidRPr="00821CDF" w:rsidRDefault="00C92C16" w:rsidP="005A576D">
      <w:pPr>
        <w:autoSpaceDE w:val="0"/>
        <w:autoSpaceDN w:val="0"/>
        <w:adjustRightInd w:val="0"/>
        <w:jc w:val="both"/>
        <w:rPr>
          <w:rFonts w:asciiTheme="majorBidi" w:hAnsiTheme="majorBidi" w:cstheme="majorBidi"/>
          <w:sz w:val="18"/>
          <w:szCs w:val="18"/>
        </w:rPr>
      </w:pPr>
      <w:r>
        <w:rPr>
          <w:rFonts w:asciiTheme="majorBidi" w:hAnsiTheme="majorBidi" w:cstheme="majorBidi"/>
          <w:sz w:val="18"/>
          <w:szCs w:val="18"/>
        </w:rPr>
        <w:t xml:space="preserve">Fig. </w:t>
      </w:r>
      <w:r w:rsidR="005A576D">
        <w:rPr>
          <w:rFonts w:asciiTheme="majorBidi" w:hAnsiTheme="majorBidi" w:cstheme="majorBidi"/>
          <w:sz w:val="18"/>
          <w:szCs w:val="18"/>
        </w:rPr>
        <w:t>2</w:t>
      </w:r>
      <w:r w:rsidRPr="00821CDF">
        <w:rPr>
          <w:rFonts w:asciiTheme="majorBidi" w:hAnsiTheme="majorBidi" w:cstheme="majorBidi"/>
          <w:sz w:val="18"/>
          <w:szCs w:val="18"/>
        </w:rPr>
        <w:t xml:space="preserve">. At left, a column of the </w:t>
      </w:r>
      <w:r>
        <w:rPr>
          <w:rFonts w:asciiTheme="majorBidi" w:hAnsiTheme="majorBidi" w:cstheme="majorBidi"/>
          <w:sz w:val="18"/>
          <w:szCs w:val="18"/>
        </w:rPr>
        <w:t xml:space="preserve">described </w:t>
      </w:r>
      <w:r w:rsidRPr="00821CDF">
        <w:rPr>
          <w:rFonts w:asciiTheme="majorBidi" w:hAnsiTheme="majorBidi" w:cstheme="majorBidi"/>
          <w:sz w:val="18"/>
          <w:szCs w:val="18"/>
        </w:rPr>
        <w:t>reservoir rock facies</w:t>
      </w:r>
      <w:r>
        <w:rPr>
          <w:rFonts w:asciiTheme="majorBidi" w:hAnsiTheme="majorBidi" w:cstheme="majorBidi"/>
          <w:sz w:val="18"/>
          <w:szCs w:val="18"/>
        </w:rPr>
        <w:t>, a</w:t>
      </w:r>
      <w:r w:rsidRPr="00821CDF">
        <w:rPr>
          <w:rFonts w:asciiTheme="majorBidi" w:hAnsiTheme="majorBidi" w:cstheme="majorBidi"/>
          <w:sz w:val="18"/>
          <w:szCs w:val="18"/>
        </w:rPr>
        <w:t>t right</w:t>
      </w:r>
      <w:r>
        <w:rPr>
          <w:rFonts w:asciiTheme="majorBidi" w:hAnsiTheme="majorBidi" w:cstheme="majorBidi"/>
          <w:sz w:val="18"/>
          <w:szCs w:val="18"/>
        </w:rPr>
        <w:t>,</w:t>
      </w:r>
      <w:r w:rsidRPr="00821CDF">
        <w:rPr>
          <w:rFonts w:asciiTheme="majorBidi" w:hAnsiTheme="majorBidi" w:cstheme="majorBidi"/>
          <w:sz w:val="18"/>
          <w:szCs w:val="18"/>
        </w:rPr>
        <w:t xml:space="preserve"> a layout for the interpreted fractures</w:t>
      </w:r>
      <w:r>
        <w:rPr>
          <w:rFonts w:asciiTheme="majorBidi" w:hAnsiTheme="majorBidi" w:cstheme="majorBidi"/>
          <w:sz w:val="18"/>
          <w:szCs w:val="18"/>
        </w:rPr>
        <w:t xml:space="preserve"> (unfilled and filled).</w:t>
      </w:r>
      <w:r w:rsidRPr="00821CDF">
        <w:rPr>
          <w:rFonts w:asciiTheme="majorBidi" w:hAnsiTheme="majorBidi" w:cstheme="majorBidi"/>
          <w:sz w:val="18"/>
          <w:szCs w:val="18"/>
        </w:rPr>
        <w:t xml:space="preserve"> </w:t>
      </w:r>
      <w:r>
        <w:rPr>
          <w:rFonts w:asciiTheme="majorBidi" w:hAnsiTheme="majorBidi" w:cstheme="majorBidi"/>
          <w:sz w:val="18"/>
          <w:szCs w:val="18"/>
        </w:rPr>
        <w:t>Comparing fractures directly between core and b</w:t>
      </w:r>
      <w:r w:rsidRPr="00821CDF">
        <w:rPr>
          <w:rFonts w:asciiTheme="majorBidi" w:hAnsiTheme="majorBidi" w:cstheme="majorBidi"/>
          <w:sz w:val="18"/>
          <w:szCs w:val="18"/>
        </w:rPr>
        <w:t>orehole images indic</w:t>
      </w:r>
      <w:bookmarkStart w:id="0" w:name="_GoBack"/>
      <w:bookmarkEnd w:id="0"/>
      <w:r w:rsidRPr="00821CDF">
        <w:rPr>
          <w:rFonts w:asciiTheme="majorBidi" w:hAnsiTheme="majorBidi" w:cstheme="majorBidi"/>
          <w:sz w:val="18"/>
          <w:szCs w:val="18"/>
        </w:rPr>
        <w:t>ated that borehole imaging of fractures is influenced by fracture roughness and other several factors discussed thoroughly in</w:t>
      </w:r>
      <w:r>
        <w:rPr>
          <w:rFonts w:asciiTheme="majorBidi" w:hAnsiTheme="majorBidi" w:cstheme="majorBidi"/>
          <w:sz w:val="18"/>
          <w:szCs w:val="18"/>
        </w:rPr>
        <w:t xml:space="preserve"> (Al-</w:t>
      </w:r>
      <w:proofErr w:type="spellStart"/>
      <w:r>
        <w:rPr>
          <w:rFonts w:asciiTheme="majorBidi" w:hAnsiTheme="majorBidi" w:cstheme="majorBidi"/>
          <w:sz w:val="18"/>
          <w:szCs w:val="18"/>
        </w:rPr>
        <w:t>Fahmi</w:t>
      </w:r>
      <w:proofErr w:type="spellEnd"/>
      <w:r>
        <w:rPr>
          <w:rFonts w:asciiTheme="majorBidi" w:hAnsiTheme="majorBidi" w:cstheme="majorBidi"/>
          <w:sz w:val="18"/>
          <w:szCs w:val="18"/>
        </w:rPr>
        <w:t xml:space="preserve"> &amp; Cartwright, 2017).</w:t>
      </w:r>
    </w:p>
    <w:p w14:paraId="3787E6FE" w14:textId="77777777" w:rsidR="00C92C16" w:rsidRPr="00821CDF" w:rsidRDefault="00C92C16" w:rsidP="00D067A8">
      <w:pPr>
        <w:autoSpaceDE w:val="0"/>
        <w:autoSpaceDN w:val="0"/>
        <w:adjustRightInd w:val="0"/>
        <w:jc w:val="both"/>
        <w:rPr>
          <w:rFonts w:asciiTheme="majorBidi" w:hAnsiTheme="majorBidi" w:cstheme="majorBidi"/>
          <w:sz w:val="18"/>
          <w:szCs w:val="18"/>
        </w:rPr>
      </w:pPr>
    </w:p>
    <w:p w14:paraId="65C8AFAF" w14:textId="77777777" w:rsidR="00206F3C" w:rsidRPr="00E5773C" w:rsidRDefault="00206F3C" w:rsidP="00D61E0F">
      <w:pPr>
        <w:jc w:val="both"/>
        <w:rPr>
          <w:rFonts w:asciiTheme="majorBidi" w:eastAsia="Palatino" w:hAnsiTheme="majorBidi" w:cstheme="majorBidi"/>
          <w:bCs/>
          <w:sz w:val="18"/>
          <w:szCs w:val="18"/>
        </w:rPr>
      </w:pPr>
    </w:p>
    <w:p w14:paraId="64ABF8B4" w14:textId="017AF368" w:rsidR="0095002A" w:rsidRDefault="00CF7BF6" w:rsidP="00780C49">
      <w:pPr>
        <w:autoSpaceDE w:val="0"/>
        <w:autoSpaceDN w:val="0"/>
        <w:adjustRightInd w:val="0"/>
        <w:jc w:val="both"/>
        <w:rPr>
          <w:rFonts w:asciiTheme="majorBidi" w:hAnsiTheme="majorBidi" w:cstheme="majorBidi"/>
          <w:sz w:val="18"/>
          <w:szCs w:val="18"/>
        </w:rPr>
      </w:pPr>
      <w:r>
        <w:rPr>
          <w:rFonts w:asciiTheme="majorBidi" w:hAnsiTheme="majorBidi" w:cstheme="majorBidi"/>
          <w:noProof/>
          <w:sz w:val="18"/>
          <w:szCs w:val="18"/>
          <w:lang w:val="en-GB" w:eastAsia="en-GB"/>
        </w:rPr>
        <w:drawing>
          <wp:inline distT="0" distB="0" distL="0" distR="0" wp14:anchorId="56C3EE29" wp14:editId="16AA4DA4">
            <wp:extent cx="5688000" cy="6758448"/>
            <wp:effectExtent l="0" t="0" r="1905" b="0"/>
            <wp:docPr id="7" name="Picture 7" descr="../../../../03_Figures/roughness-vs-lith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_Figures/roughness-vs-lith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6758448"/>
                    </a:xfrm>
                    <a:prstGeom prst="rect">
                      <a:avLst/>
                    </a:prstGeom>
                    <a:noFill/>
                    <a:ln>
                      <a:noFill/>
                    </a:ln>
                  </pic:spPr>
                </pic:pic>
              </a:graphicData>
            </a:graphic>
          </wp:inline>
        </w:drawing>
      </w:r>
    </w:p>
    <w:p w14:paraId="34710934" w14:textId="08FB90AE" w:rsidR="0095002A" w:rsidRDefault="00710861" w:rsidP="005A576D">
      <w:pPr>
        <w:autoSpaceDE w:val="0"/>
        <w:autoSpaceDN w:val="0"/>
        <w:adjustRightInd w:val="0"/>
        <w:jc w:val="both"/>
        <w:rPr>
          <w:rFonts w:asciiTheme="majorBidi" w:hAnsiTheme="majorBidi" w:cstheme="majorBidi"/>
          <w:sz w:val="18"/>
          <w:szCs w:val="18"/>
        </w:rPr>
      </w:pPr>
      <w:r>
        <w:rPr>
          <w:rFonts w:asciiTheme="majorBidi" w:hAnsiTheme="majorBidi" w:cstheme="majorBidi"/>
          <w:sz w:val="18"/>
          <w:szCs w:val="18"/>
        </w:rPr>
        <w:t xml:space="preserve">Fig. </w:t>
      </w:r>
      <w:r w:rsidR="005A576D">
        <w:rPr>
          <w:rFonts w:asciiTheme="majorBidi" w:hAnsiTheme="majorBidi" w:cstheme="majorBidi"/>
          <w:sz w:val="18"/>
          <w:szCs w:val="18"/>
        </w:rPr>
        <w:t>3</w:t>
      </w:r>
      <w:r w:rsidR="00CF7BF6">
        <w:rPr>
          <w:rFonts w:asciiTheme="majorBidi" w:hAnsiTheme="majorBidi" w:cstheme="majorBidi"/>
          <w:sz w:val="18"/>
          <w:szCs w:val="18"/>
        </w:rPr>
        <w:t xml:space="preserve">. Measurements on </w:t>
      </w:r>
      <w:r w:rsidR="005B38B1">
        <w:rPr>
          <w:rFonts w:asciiTheme="majorBidi" w:hAnsiTheme="majorBidi" w:cstheme="majorBidi"/>
          <w:sz w:val="18"/>
          <w:szCs w:val="18"/>
        </w:rPr>
        <w:t xml:space="preserve">fracture </w:t>
      </w:r>
      <w:r w:rsidR="00CF7BF6">
        <w:rPr>
          <w:rFonts w:asciiTheme="majorBidi" w:hAnsiTheme="majorBidi" w:cstheme="majorBidi"/>
          <w:sz w:val="18"/>
          <w:szCs w:val="18"/>
        </w:rPr>
        <w:t>roughness and wall mismatch are correlated to lithology of host rocks</w:t>
      </w:r>
      <w:r w:rsidR="005B38B1">
        <w:rPr>
          <w:rFonts w:asciiTheme="majorBidi" w:hAnsiTheme="majorBidi" w:cstheme="majorBidi"/>
          <w:sz w:val="18"/>
          <w:szCs w:val="18"/>
        </w:rPr>
        <w:t>,</w:t>
      </w:r>
      <w:r w:rsidR="00CF7BF6">
        <w:rPr>
          <w:rFonts w:asciiTheme="majorBidi" w:hAnsiTheme="majorBidi" w:cstheme="majorBidi"/>
          <w:sz w:val="18"/>
          <w:szCs w:val="18"/>
        </w:rPr>
        <w:t xml:space="preserve"> described from core using </w:t>
      </w:r>
      <w:r w:rsidR="005B38B1">
        <w:rPr>
          <w:rFonts w:asciiTheme="majorBidi" w:hAnsiTheme="majorBidi" w:cstheme="majorBidi"/>
          <w:sz w:val="18"/>
          <w:szCs w:val="18"/>
        </w:rPr>
        <w:t xml:space="preserve">the </w:t>
      </w:r>
      <w:r w:rsidR="00CF7BF6">
        <w:rPr>
          <w:rFonts w:asciiTheme="majorBidi" w:hAnsiTheme="majorBidi" w:cstheme="majorBidi"/>
          <w:sz w:val="18"/>
          <w:szCs w:val="18"/>
        </w:rPr>
        <w:t xml:space="preserve">conventional methods of </w:t>
      </w:r>
      <w:r w:rsidR="005B38B1">
        <w:rPr>
          <w:rFonts w:asciiTheme="majorBidi" w:hAnsiTheme="majorBidi" w:cstheme="majorBidi"/>
          <w:sz w:val="18"/>
          <w:szCs w:val="18"/>
        </w:rPr>
        <w:fldChar w:fldCharType="begin" w:fldLock="1"/>
      </w:r>
      <w:r w:rsidR="005B38B1">
        <w:rPr>
          <w:rFonts w:asciiTheme="majorBidi" w:hAnsiTheme="majorBidi" w:cstheme="majorBidi"/>
          <w:sz w:val="18"/>
          <w:szCs w:val="18"/>
        </w:rPr>
        <w:instrText>ADDIN CSL_CITATION { "citationItems" : [ { "id" : "ITEM-1", "itemData" : { "author" : [ { "dropping-particle" : "", "family" : "Dunham", "given" : "Robert J", "non-dropping-particle" : "", "parse-names" : false, "suffix" : "" } ], "container-title" : "M 1: Classification of Carbonate Rocks--A Symposium", "id" : "ITEM-1", "issued" : { "date-parts" : [ [ "1962" ] ] }, "page" : "23", "title" : "Classification of carbonate rocks according to depositional texture", "type" : "chapter" }, "uris" : [ "http://www.mendeley.com/documents/?uuid=c6f43611-5d9a-4847-b3f3-e03920c7c57c" ] } ], "mendeley" : { "formattedCitation" : "(Dunham, 1962)", "plainTextFormattedCitation" : "(Dunham, 1962)" }, "properties" : { "noteIndex" : 0 }, "schema" : "https://github.com/citation-style-language/schema/raw/master/csl-citation.json" }</w:instrText>
      </w:r>
      <w:r w:rsidR="005B38B1">
        <w:rPr>
          <w:rFonts w:asciiTheme="majorBidi" w:hAnsiTheme="majorBidi" w:cstheme="majorBidi"/>
          <w:sz w:val="18"/>
          <w:szCs w:val="18"/>
        </w:rPr>
        <w:fldChar w:fldCharType="separate"/>
      </w:r>
      <w:r w:rsidR="005B38B1">
        <w:rPr>
          <w:rFonts w:asciiTheme="majorBidi" w:hAnsiTheme="majorBidi" w:cstheme="majorBidi"/>
          <w:noProof/>
          <w:sz w:val="18"/>
          <w:szCs w:val="18"/>
        </w:rPr>
        <w:t>Dunham</w:t>
      </w:r>
      <w:r w:rsidR="005B38B1" w:rsidRPr="005B38B1">
        <w:rPr>
          <w:rFonts w:asciiTheme="majorBidi" w:hAnsiTheme="majorBidi" w:cstheme="majorBidi"/>
          <w:noProof/>
          <w:sz w:val="18"/>
          <w:szCs w:val="18"/>
        </w:rPr>
        <w:t xml:space="preserve"> </w:t>
      </w:r>
      <w:r w:rsidR="005B38B1">
        <w:rPr>
          <w:rFonts w:asciiTheme="majorBidi" w:hAnsiTheme="majorBidi" w:cstheme="majorBidi"/>
          <w:noProof/>
          <w:sz w:val="18"/>
          <w:szCs w:val="18"/>
        </w:rPr>
        <w:t>(</w:t>
      </w:r>
      <w:r w:rsidR="005B38B1" w:rsidRPr="005B38B1">
        <w:rPr>
          <w:rFonts w:asciiTheme="majorBidi" w:hAnsiTheme="majorBidi" w:cstheme="majorBidi"/>
          <w:noProof/>
          <w:sz w:val="18"/>
          <w:szCs w:val="18"/>
        </w:rPr>
        <w:t>1962)</w:t>
      </w:r>
      <w:r w:rsidR="005B38B1">
        <w:rPr>
          <w:rFonts w:asciiTheme="majorBidi" w:hAnsiTheme="majorBidi" w:cstheme="majorBidi"/>
          <w:sz w:val="18"/>
          <w:szCs w:val="18"/>
        </w:rPr>
        <w:fldChar w:fldCharType="end"/>
      </w:r>
      <w:r w:rsidR="005B38B1">
        <w:rPr>
          <w:rFonts w:asciiTheme="majorBidi" w:hAnsiTheme="majorBidi" w:cstheme="majorBidi"/>
          <w:sz w:val="18"/>
          <w:szCs w:val="18"/>
        </w:rPr>
        <w:t xml:space="preserve">, displaying, </w:t>
      </w:r>
      <w:proofErr w:type="spellStart"/>
      <w:r w:rsidR="005B38B1">
        <w:rPr>
          <w:rFonts w:asciiTheme="majorBidi" w:hAnsiTheme="majorBidi" w:cstheme="majorBidi"/>
          <w:sz w:val="18"/>
          <w:szCs w:val="18"/>
        </w:rPr>
        <w:t>a</w:t>
      </w:r>
      <w:proofErr w:type="spellEnd"/>
      <w:r w:rsidR="005B38B1">
        <w:rPr>
          <w:rFonts w:asciiTheme="majorBidi" w:hAnsiTheme="majorBidi" w:cstheme="majorBidi"/>
          <w:sz w:val="18"/>
          <w:szCs w:val="18"/>
        </w:rPr>
        <w:t xml:space="preserve">) increasing roughness of limestone fractures with increasing grain size, but this correlation is weak to non-existing in dolomite, and b) </w:t>
      </w:r>
      <w:r w:rsidR="000616F7">
        <w:rPr>
          <w:rFonts w:asciiTheme="majorBidi" w:hAnsiTheme="majorBidi" w:cstheme="majorBidi"/>
          <w:sz w:val="18"/>
          <w:szCs w:val="18"/>
        </w:rPr>
        <w:t xml:space="preserve">increasing probability of </w:t>
      </w:r>
      <w:r w:rsidR="005B38B1">
        <w:rPr>
          <w:rFonts w:asciiTheme="majorBidi" w:hAnsiTheme="majorBidi" w:cstheme="majorBidi"/>
          <w:sz w:val="18"/>
          <w:szCs w:val="18"/>
        </w:rPr>
        <w:t>wall mismatch</w:t>
      </w:r>
      <w:r w:rsidR="000616F7">
        <w:rPr>
          <w:rFonts w:asciiTheme="majorBidi" w:hAnsiTheme="majorBidi" w:cstheme="majorBidi"/>
          <w:sz w:val="18"/>
          <w:szCs w:val="18"/>
        </w:rPr>
        <w:t>, despite limited,</w:t>
      </w:r>
      <w:r w:rsidR="005B38B1">
        <w:rPr>
          <w:rFonts w:asciiTheme="majorBidi" w:hAnsiTheme="majorBidi" w:cstheme="majorBidi"/>
          <w:sz w:val="18"/>
          <w:szCs w:val="18"/>
        </w:rPr>
        <w:t xml:space="preserve"> with increasing grain size of limestone and no correlation can be established from dolomite fractures. F: Fine, M-C: Medium to course, P: pebble. The roughness measurements in (a) are presented from</w:t>
      </w:r>
      <w:r w:rsidR="00386EEF">
        <w:rPr>
          <w:rFonts w:asciiTheme="majorBidi" w:hAnsiTheme="majorBidi" w:cstheme="majorBidi"/>
          <w:sz w:val="18"/>
          <w:szCs w:val="18"/>
        </w:rPr>
        <w:t xml:space="preserve"> calculations of the</w:t>
      </w:r>
      <w:r w:rsidR="005B38B1">
        <w:rPr>
          <w:rFonts w:asciiTheme="majorBidi" w:hAnsiTheme="majorBidi" w:cstheme="majorBidi"/>
          <w:sz w:val="18"/>
          <w:szCs w:val="18"/>
        </w:rPr>
        <w:t xml:space="preserve"> Z</w:t>
      </w:r>
      <w:r w:rsidR="005B38B1">
        <w:rPr>
          <w:rFonts w:asciiTheme="majorBidi" w:hAnsiTheme="majorBidi" w:cstheme="majorBidi"/>
          <w:sz w:val="18"/>
          <w:szCs w:val="18"/>
          <w:vertAlign w:val="subscript"/>
        </w:rPr>
        <w:t>2</w:t>
      </w:r>
      <w:r w:rsidR="005B38B1">
        <w:rPr>
          <w:rFonts w:asciiTheme="majorBidi" w:hAnsiTheme="majorBidi" w:cstheme="majorBidi"/>
          <w:sz w:val="18"/>
          <w:szCs w:val="18"/>
        </w:rPr>
        <w:t xml:space="preserve"> </w:t>
      </w:r>
      <w:r w:rsidR="00386EEF">
        <w:rPr>
          <w:rFonts w:asciiTheme="majorBidi" w:hAnsiTheme="majorBidi" w:cstheme="majorBidi"/>
          <w:sz w:val="18"/>
          <w:szCs w:val="18"/>
        </w:rPr>
        <w:t xml:space="preserve">parameter </w:t>
      </w:r>
      <w:r w:rsidR="005B38B1">
        <w:rPr>
          <w:rFonts w:asciiTheme="majorBidi" w:hAnsiTheme="majorBidi" w:cstheme="majorBidi"/>
          <w:sz w:val="18"/>
          <w:szCs w:val="18"/>
        </w:rPr>
        <w:t xml:space="preserve">and equivalent JRCs using a relationship described in the text.   </w:t>
      </w:r>
    </w:p>
    <w:p w14:paraId="6F7AD45F" w14:textId="77777777" w:rsidR="0095002A" w:rsidRDefault="0095002A" w:rsidP="00780C49">
      <w:pPr>
        <w:autoSpaceDE w:val="0"/>
        <w:autoSpaceDN w:val="0"/>
        <w:adjustRightInd w:val="0"/>
        <w:jc w:val="both"/>
        <w:rPr>
          <w:rFonts w:asciiTheme="majorBidi" w:hAnsiTheme="majorBidi" w:cstheme="majorBidi"/>
          <w:sz w:val="18"/>
          <w:szCs w:val="18"/>
        </w:rPr>
      </w:pPr>
    </w:p>
    <w:p w14:paraId="56324176" w14:textId="77777777" w:rsidR="0095002A" w:rsidRDefault="0095002A" w:rsidP="00780C49">
      <w:pPr>
        <w:autoSpaceDE w:val="0"/>
        <w:autoSpaceDN w:val="0"/>
        <w:adjustRightInd w:val="0"/>
        <w:jc w:val="both"/>
        <w:rPr>
          <w:rFonts w:asciiTheme="majorBidi" w:hAnsiTheme="majorBidi" w:cstheme="majorBidi"/>
          <w:sz w:val="18"/>
          <w:szCs w:val="18"/>
        </w:rPr>
      </w:pPr>
    </w:p>
    <w:p w14:paraId="61063CEF" w14:textId="77777777" w:rsidR="0095002A" w:rsidRDefault="0095002A" w:rsidP="00780C49">
      <w:pPr>
        <w:autoSpaceDE w:val="0"/>
        <w:autoSpaceDN w:val="0"/>
        <w:adjustRightInd w:val="0"/>
        <w:jc w:val="both"/>
        <w:rPr>
          <w:rFonts w:asciiTheme="majorBidi" w:hAnsiTheme="majorBidi" w:cstheme="majorBidi"/>
          <w:sz w:val="18"/>
          <w:szCs w:val="18"/>
        </w:rPr>
      </w:pPr>
    </w:p>
    <w:p w14:paraId="48E2E19D" w14:textId="71750419" w:rsidR="00912DE9" w:rsidRPr="009F787B" w:rsidRDefault="00A72701" w:rsidP="005A576D">
      <w:pPr>
        <w:pStyle w:val="NormalWeb"/>
        <w:jc w:val="both"/>
        <w:rPr>
          <w:rFonts w:asciiTheme="majorBidi" w:hAnsiTheme="majorBidi" w:cstheme="majorBidi"/>
          <w:sz w:val="18"/>
          <w:szCs w:val="18"/>
        </w:rPr>
      </w:pPr>
      <w:r>
        <w:rPr>
          <w:rFonts w:asciiTheme="majorBidi" w:hAnsiTheme="majorBidi" w:cstheme="majorBidi"/>
          <w:bCs/>
          <w:noProof/>
          <w:sz w:val="24"/>
          <w:szCs w:val="24"/>
          <w:lang w:val="en-GB" w:eastAsia="en-GB"/>
        </w:rPr>
        <w:drawing>
          <wp:inline distT="0" distB="0" distL="0" distR="0" wp14:anchorId="10076C5A" wp14:editId="5F4DE482">
            <wp:extent cx="5688000" cy="6928165"/>
            <wp:effectExtent l="0" t="0" r="1905" b="6350"/>
            <wp:docPr id="1" name="Picture 1" descr="../../../01_Subsurface/Apertures/Aperture_var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Subsurface/Apertures/Aperture_variatio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6928165"/>
                    </a:xfrm>
                    <a:prstGeom prst="rect">
                      <a:avLst/>
                    </a:prstGeom>
                    <a:noFill/>
                    <a:ln>
                      <a:noFill/>
                    </a:ln>
                  </pic:spPr>
                </pic:pic>
              </a:graphicData>
            </a:graphic>
          </wp:inline>
        </w:drawing>
      </w:r>
      <w:r w:rsidR="00710861">
        <w:rPr>
          <w:rFonts w:asciiTheme="majorBidi" w:hAnsiTheme="majorBidi" w:cstheme="majorBidi"/>
          <w:sz w:val="18"/>
          <w:szCs w:val="18"/>
        </w:rPr>
        <w:t xml:space="preserve">Fig. </w:t>
      </w:r>
      <w:r w:rsidR="005A576D">
        <w:rPr>
          <w:rFonts w:asciiTheme="majorBidi" w:hAnsiTheme="majorBidi" w:cstheme="majorBidi"/>
          <w:sz w:val="18"/>
          <w:szCs w:val="18"/>
        </w:rPr>
        <w:t>4</w:t>
      </w:r>
      <w:r w:rsidR="00912DE9">
        <w:rPr>
          <w:rFonts w:asciiTheme="majorBidi" w:hAnsiTheme="majorBidi" w:cstheme="majorBidi"/>
          <w:sz w:val="18"/>
          <w:szCs w:val="18"/>
        </w:rPr>
        <w:t>. Apertures of the unfilled fractures</w:t>
      </w:r>
      <w:r w:rsidR="00385E81">
        <w:rPr>
          <w:rFonts w:asciiTheme="majorBidi" w:hAnsiTheme="majorBidi" w:cstheme="majorBidi"/>
          <w:sz w:val="18"/>
          <w:szCs w:val="18"/>
        </w:rPr>
        <w:t>,</w:t>
      </w:r>
      <w:r w:rsidR="00912DE9">
        <w:rPr>
          <w:rFonts w:asciiTheme="majorBidi" w:hAnsiTheme="majorBidi" w:cstheme="majorBidi"/>
          <w:sz w:val="18"/>
          <w:szCs w:val="18"/>
        </w:rPr>
        <w:t xml:space="preserve"> interpreted from the borehole images of a) X-1 and b) X-03 measured using the method presented in </w:t>
      </w:r>
      <w:r w:rsidR="00912DE9">
        <w:rPr>
          <w:rFonts w:asciiTheme="majorBidi" w:hAnsiTheme="majorBidi" w:cstheme="majorBidi"/>
          <w:sz w:val="18"/>
          <w:szCs w:val="18"/>
        </w:rPr>
        <w:fldChar w:fldCharType="begin" w:fldLock="1"/>
      </w:r>
      <w:r w:rsidR="008714D2">
        <w:rPr>
          <w:rFonts w:asciiTheme="majorBidi" w:hAnsiTheme="majorBidi" w:cstheme="majorBidi"/>
          <w:sz w:val="18"/>
          <w:szCs w:val="18"/>
        </w:rPr>
        <w:instrText>ADDIN CSL_CITATION { "citationItems" : [ { "id" : "ITEM-1", "itemData" : { "abstract" : "Three-dimensional finite-element modeling was performed to investigate the response to fractures of the Formation MicroScanner (Mark of Schlumberger), which records high-resolution electrical scans of the borehole wall. It is found that the equationEquationdescribes, over two orders of magnitude of resistivity contrasts between borehole mud and the formation, the relationship between fracture width W (in mm), formation resistivity R x0 , mud resistivity R m , and the additional current flow A caused by the presence of the fracture. A is the additional current which can be injected into the formation divided by the voltage, integrated along a line perpendicular across the fracture trace. Coefficient c and exponent b are obtained numerically from forward modeling. Tool standoffs of up to 2.5 mm and fracture dips in the range from 0 degrees to 40 degrees were found to have an insignificant effect on the above relation.A three-step approach to detect, trace, and quantify fractures is used. Potential fractures in Formation MicroScanner images are detected as locations where conductivity exceeds the local matrix conductivity by a statistically significant amount. Integration over a circular area is performed around these locations to gather all excessive currents; this integral is then geometrically reduced to approximate the line integral A. Line sharpening and neighborhood connectivity tests are done to trace the fractures, and apertures are computed for all fracture locations.Results from a well into basement in Moodus (Connecticut) show that the method successfully traces fractures seen on Formation MicroScanner images. The resulting fracture apertures range from 10 mu m to 1 mm. For the wider fractures there is acceptable agreement with apertures obtained from Stoneley wave reflection measurements. This unique and novel technique for characterizing fractures in wellbores has a very low detection threshold of around 10 mu m and resolves fractures as little as 1 cm apart. Furthermore, it provides azimuthal orientation of the fractures.", "author" : [ { "dropping-particle" : "", "family" : "Luthi", "given" : "S.M.", "non-dropping-particle" : "", "parse-names" : false, "suffix" : "" }, { "dropping-particle" : "", "family" : "Souhait\u00e9", "given" : "P.", "non-dropping-particle" : "", "parse-names" : false, "suffix" : "" } ], "container-title" : "Geophysics", "id" : "ITEM-1", "issue" : "7", "issued" : { "date-parts" : [ [ "1990" ] ] }, "page" : "821-833", "title" : "Fracture apertures from electrical borehole scans", "type" : "article-journal", "volume" : "55" }, "uris" : [ "http://www.mendeley.com/documents/?uuid=01f82184-1dba-458b-9e29-142254c59091" ] } ], "mendeley" : { "formattedCitation" : "(Luthi and Souhait\u00e9, 1990)", "plainTextFormattedCitation" : "(Luthi and Souhait\u00e9, 1990)", "previouslyFormattedCitation" : "(Luthi and Souhait\u00e9, 1990)" }, "properties" : { "noteIndex" : 0 }, "schema" : "https://github.com/citation-style-language/schema/raw/master/csl-citation.json" }</w:instrText>
      </w:r>
      <w:r w:rsidR="00912DE9">
        <w:rPr>
          <w:rFonts w:asciiTheme="majorBidi" w:hAnsiTheme="majorBidi" w:cstheme="majorBidi"/>
          <w:sz w:val="18"/>
          <w:szCs w:val="18"/>
        </w:rPr>
        <w:fldChar w:fldCharType="separate"/>
      </w:r>
      <w:r w:rsidR="00912DE9" w:rsidRPr="009F787B">
        <w:rPr>
          <w:rFonts w:asciiTheme="majorBidi" w:hAnsiTheme="majorBidi" w:cstheme="majorBidi"/>
          <w:noProof/>
          <w:sz w:val="18"/>
          <w:szCs w:val="18"/>
        </w:rPr>
        <w:t>(Luthi and Souhaité, 1990)</w:t>
      </w:r>
      <w:r w:rsidR="00912DE9">
        <w:rPr>
          <w:rFonts w:asciiTheme="majorBidi" w:hAnsiTheme="majorBidi" w:cstheme="majorBidi"/>
          <w:sz w:val="18"/>
          <w:szCs w:val="18"/>
        </w:rPr>
        <w:fldChar w:fldCharType="end"/>
      </w:r>
      <w:r w:rsidR="00912DE9">
        <w:rPr>
          <w:rFonts w:asciiTheme="majorBidi" w:hAnsiTheme="majorBidi" w:cstheme="majorBidi"/>
          <w:sz w:val="18"/>
          <w:szCs w:val="18"/>
        </w:rPr>
        <w:t>, showing variations of size (see color code</w:t>
      </w:r>
      <w:r w:rsidR="0099530F">
        <w:rPr>
          <w:rFonts w:asciiTheme="majorBidi" w:hAnsiTheme="majorBidi" w:cstheme="majorBidi"/>
          <w:sz w:val="18"/>
          <w:szCs w:val="18"/>
        </w:rPr>
        <w:t>s</w:t>
      </w:r>
      <w:r w:rsidR="00912DE9">
        <w:rPr>
          <w:rFonts w:asciiTheme="majorBidi" w:hAnsiTheme="majorBidi" w:cstheme="majorBidi"/>
          <w:sz w:val="18"/>
          <w:szCs w:val="18"/>
        </w:rPr>
        <w:t xml:space="preserve"> of </w:t>
      </w:r>
      <w:r w:rsidR="0000099C">
        <w:rPr>
          <w:rFonts w:asciiTheme="majorBidi" w:hAnsiTheme="majorBidi" w:cstheme="majorBidi"/>
          <w:sz w:val="18"/>
          <w:szCs w:val="18"/>
        </w:rPr>
        <w:t>aperture size</w:t>
      </w:r>
      <w:r w:rsidR="00912DE9">
        <w:rPr>
          <w:rFonts w:asciiTheme="majorBidi" w:hAnsiTheme="majorBidi" w:cstheme="majorBidi"/>
          <w:sz w:val="18"/>
          <w:szCs w:val="18"/>
        </w:rPr>
        <w:t xml:space="preserve">) due to roughness anisotropy for most fractures especially for X-01. </w:t>
      </w:r>
    </w:p>
    <w:p w14:paraId="71403FF7" w14:textId="77777777" w:rsidR="00912DE9" w:rsidRDefault="00912DE9" w:rsidP="000B717A">
      <w:pPr>
        <w:pStyle w:val="NormalWeb"/>
        <w:jc w:val="both"/>
        <w:rPr>
          <w:rFonts w:asciiTheme="majorBidi" w:hAnsiTheme="majorBidi" w:cstheme="majorBidi"/>
          <w:sz w:val="18"/>
          <w:szCs w:val="18"/>
        </w:rPr>
      </w:pPr>
    </w:p>
    <w:p w14:paraId="5B919678" w14:textId="77777777" w:rsidR="009F787B" w:rsidRDefault="009F787B" w:rsidP="000B717A">
      <w:pPr>
        <w:pStyle w:val="NormalWeb"/>
        <w:jc w:val="both"/>
        <w:rPr>
          <w:rFonts w:asciiTheme="majorBidi" w:hAnsiTheme="majorBidi" w:cstheme="majorBidi"/>
          <w:sz w:val="18"/>
          <w:szCs w:val="18"/>
        </w:rPr>
      </w:pPr>
    </w:p>
    <w:p w14:paraId="6AB1F2E9" w14:textId="5E110F3B" w:rsidR="00986383" w:rsidRPr="009F787B" w:rsidRDefault="00986383" w:rsidP="005A576D">
      <w:pPr>
        <w:pStyle w:val="NormalWeb"/>
        <w:jc w:val="both"/>
        <w:rPr>
          <w:rFonts w:asciiTheme="majorBidi" w:hAnsiTheme="majorBidi" w:cstheme="majorBidi"/>
          <w:sz w:val="18"/>
          <w:szCs w:val="18"/>
        </w:rPr>
      </w:pPr>
      <w:r>
        <w:rPr>
          <w:rFonts w:asciiTheme="majorBidi" w:hAnsiTheme="majorBidi" w:cstheme="majorBidi"/>
          <w:noProof/>
          <w:sz w:val="18"/>
          <w:szCs w:val="18"/>
          <w:lang w:val="en-GB" w:eastAsia="en-GB"/>
        </w:rPr>
        <w:drawing>
          <wp:inline distT="0" distB="0" distL="0" distR="0" wp14:anchorId="47C0B228" wp14:editId="467F7662">
            <wp:extent cx="5688000" cy="8571595"/>
            <wp:effectExtent l="0" t="0" r="1905" b="0"/>
            <wp:docPr id="4" name="Picture 4" descr="../Roughness_Figs/Supp/aperture-from-imag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ghness_Figs/Supp/aperture-from-image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000" cy="8571595"/>
                    </a:xfrm>
                    <a:prstGeom prst="rect">
                      <a:avLst/>
                    </a:prstGeom>
                    <a:noFill/>
                    <a:ln>
                      <a:noFill/>
                    </a:ln>
                  </pic:spPr>
                </pic:pic>
              </a:graphicData>
            </a:graphic>
          </wp:inline>
        </w:drawing>
      </w:r>
      <w:r w:rsidR="00710861">
        <w:rPr>
          <w:rFonts w:asciiTheme="majorBidi" w:hAnsiTheme="majorBidi" w:cstheme="majorBidi"/>
          <w:sz w:val="18"/>
          <w:szCs w:val="18"/>
        </w:rPr>
        <w:t xml:space="preserve">Fig. </w:t>
      </w:r>
      <w:r w:rsidR="005A576D">
        <w:rPr>
          <w:rFonts w:asciiTheme="majorBidi" w:hAnsiTheme="majorBidi" w:cstheme="majorBidi"/>
          <w:sz w:val="18"/>
          <w:szCs w:val="18"/>
        </w:rPr>
        <w:t>5</w:t>
      </w:r>
      <w:r>
        <w:rPr>
          <w:rFonts w:asciiTheme="majorBidi" w:hAnsiTheme="majorBidi" w:cstheme="majorBidi"/>
          <w:sz w:val="18"/>
          <w:szCs w:val="18"/>
        </w:rPr>
        <w:t xml:space="preserve">. Measurements of mean apertures from the fractures interpreted from the borehole images of X-1 and X-03 using the method presented in </w:t>
      </w:r>
      <w:r>
        <w:rPr>
          <w:rFonts w:asciiTheme="majorBidi" w:hAnsiTheme="majorBidi" w:cstheme="majorBidi"/>
          <w:sz w:val="18"/>
          <w:szCs w:val="18"/>
        </w:rPr>
        <w:fldChar w:fldCharType="begin" w:fldLock="1"/>
      </w:r>
      <w:r w:rsidR="005B38B1">
        <w:rPr>
          <w:rFonts w:asciiTheme="majorBidi" w:hAnsiTheme="majorBidi" w:cstheme="majorBidi"/>
          <w:sz w:val="18"/>
          <w:szCs w:val="18"/>
        </w:rPr>
        <w:instrText>ADDIN CSL_CITATION { "citationItems" : [ { "id" : "ITEM-1", "itemData" : { "abstract" : "Three-dimensional finite-element modeling was performed to investigate the response to fractures of the Formation MicroScanner (Mark of Schlumberger), which records high-resolution electrical scans of the borehole wall. It is found that the equationEquationdescribes, over two orders of magnitude of resistivity contrasts between borehole mud and the formation, the relationship between fracture width W (in mm), formation resistivity R x0 , mud resistivity R m , and the additional current flow A caused by the presence of the fracture. A is the additional current which can be injected into the formation divided by the voltage, integrated along a line perpendicular across the fracture trace. Coefficient c and exponent b are obtained numerically from forward modeling. Tool standoffs of up to 2.5 mm and fracture dips in the range from 0 degrees to 40 degrees were found to have an insignificant effect on the above relation.A three-step approach to detect, trace, and quantify fractures is used. Potential fractures in Formation MicroScanner images are detected as locations where conductivity exceeds the local matrix conductivity by a statistically significant amount. Integration over a circular area is performed around these locations to gather all excessive currents; this integral is then geometrically reduced to approximate the line integral A. Line sharpening and neighborhood connectivity tests are done to trace the fractures, and apertures are computed for all fracture locations.Results from a well into basement in Moodus (Connecticut) show that the method successfully traces fractures seen on Formation MicroScanner images. The resulting fracture apertures range from 10 mu m to 1 mm. For the wider fractures there is acceptable agreement with apertures obtained from Stoneley wave reflection measurements. This unique and novel technique for characterizing fractures in wellbores has a very low detection threshold of around 10 mu m and resolves fractures as little as 1 cm apart. Furthermore, it provides azimuthal orientation of the fractures.", "author" : [ { "dropping-particle" : "", "family" : "Luthi", "given" : "S.M.", "non-dropping-particle" : "", "parse-names" : false, "suffix" : "" }, { "dropping-particle" : "", "family" : "Souhait\u00e9", "given" : "P.", "non-dropping-particle" : "", "parse-names" : false, "suffix" : "" } ], "container-title" : "Geophysics", "id" : "ITEM-1", "issue" : "7", "issued" : { "date-parts" : [ [ "1990" ] ] }, "page" : "821-833", "title" : "Fracture apertures from electrical borehole scans", "type" : "article-journal", "volume" : "55" }, "uris" : [ "http://www.mendeley.com/documents/?uuid=01f82184-1dba-458b-9e29-142254c59091" ] } ], "mendeley" : { "formattedCitation" : "(Luthi and Souhait\u00e9, 1990)", "manualFormatting" : "Luthi and Souhait\u00e9 (1990)", "plainTextFormattedCitation" : "(Luthi and Souhait\u00e9, 1990)", "previouslyFormattedCitation" : "(Luthi and Souhait\u00e9, 1990)" }, "properties" : { "noteIndex" : 0 }, "schema" : "https://github.com/citation-style-language/schema/raw/master/csl-citation.json" }</w:instrText>
      </w:r>
      <w:r>
        <w:rPr>
          <w:rFonts w:asciiTheme="majorBidi" w:hAnsiTheme="majorBidi" w:cstheme="majorBidi"/>
          <w:sz w:val="18"/>
          <w:szCs w:val="18"/>
        </w:rPr>
        <w:fldChar w:fldCharType="separate"/>
      </w:r>
      <w:r>
        <w:rPr>
          <w:rFonts w:asciiTheme="majorBidi" w:hAnsiTheme="majorBidi" w:cstheme="majorBidi"/>
          <w:noProof/>
          <w:sz w:val="18"/>
          <w:szCs w:val="18"/>
        </w:rPr>
        <w:t>Luthi and Souhaité</w:t>
      </w:r>
      <w:r w:rsidRPr="009F787B">
        <w:rPr>
          <w:rFonts w:asciiTheme="majorBidi" w:hAnsiTheme="majorBidi" w:cstheme="majorBidi"/>
          <w:noProof/>
          <w:sz w:val="18"/>
          <w:szCs w:val="18"/>
        </w:rPr>
        <w:t xml:space="preserve"> </w:t>
      </w:r>
      <w:r>
        <w:rPr>
          <w:rFonts w:asciiTheme="majorBidi" w:hAnsiTheme="majorBidi" w:cstheme="majorBidi"/>
          <w:noProof/>
          <w:sz w:val="18"/>
          <w:szCs w:val="18"/>
        </w:rPr>
        <w:t>(</w:t>
      </w:r>
      <w:r w:rsidRPr="009F787B">
        <w:rPr>
          <w:rFonts w:asciiTheme="majorBidi" w:hAnsiTheme="majorBidi" w:cstheme="majorBidi"/>
          <w:noProof/>
          <w:sz w:val="18"/>
          <w:szCs w:val="18"/>
        </w:rPr>
        <w:t>1990)</w:t>
      </w:r>
      <w:r>
        <w:rPr>
          <w:rFonts w:asciiTheme="majorBidi" w:hAnsiTheme="majorBidi" w:cstheme="majorBidi"/>
          <w:sz w:val="18"/>
          <w:szCs w:val="18"/>
        </w:rPr>
        <w:fldChar w:fldCharType="end"/>
      </w:r>
      <w:r>
        <w:rPr>
          <w:rFonts w:asciiTheme="majorBidi" w:hAnsiTheme="majorBidi" w:cstheme="majorBidi"/>
          <w:sz w:val="18"/>
          <w:szCs w:val="18"/>
        </w:rPr>
        <w:t>, a) borehole image showing a varying aperture width (suggesting roughness anisotropy) of two conductive NW-SE trending fractures, b) a cross plot of mean mechanical apertures versus mean hydraulic apertures, c) frequency distributions showing that mean mechanical apertures from X-01 are generally smaller than apertures from X-03, d) cumulative distributions of apertures showing the difference is indicative of rough wall mismatch, and e) graphical representations (modified from Schlumberger’s industrial manual) showing methods of calculating  mechanical apertures and hydraulic apertures.</w:t>
      </w:r>
    </w:p>
    <w:p w14:paraId="4F588121" w14:textId="6D482B5C" w:rsidR="001B0BFB" w:rsidRPr="00EE2BC7" w:rsidRDefault="00EE2BC7" w:rsidP="00F84344">
      <w:pPr>
        <w:pStyle w:val="NormalWeb"/>
        <w:shd w:val="clear" w:color="auto" w:fill="FFFFFF"/>
        <w:spacing w:line="480" w:lineRule="auto"/>
        <w:jc w:val="both"/>
        <w:rPr>
          <w:rFonts w:asciiTheme="majorBidi" w:hAnsiTheme="majorBidi" w:cstheme="majorBidi"/>
          <w:b/>
          <w:bCs/>
          <w:sz w:val="24"/>
          <w:szCs w:val="24"/>
        </w:rPr>
      </w:pPr>
      <w:r w:rsidRPr="00EE2BC7">
        <w:rPr>
          <w:rFonts w:asciiTheme="majorBidi" w:hAnsiTheme="majorBidi" w:cstheme="majorBidi"/>
          <w:b/>
          <w:bCs/>
          <w:sz w:val="24"/>
          <w:szCs w:val="24"/>
        </w:rPr>
        <w:t>CITATION</w:t>
      </w:r>
      <w:r w:rsidR="002561BA">
        <w:rPr>
          <w:rFonts w:asciiTheme="majorBidi" w:hAnsiTheme="majorBidi" w:cstheme="majorBidi"/>
          <w:b/>
          <w:bCs/>
          <w:sz w:val="24"/>
          <w:szCs w:val="24"/>
        </w:rPr>
        <w:t>S</w:t>
      </w:r>
      <w:r w:rsidRPr="00EE2BC7">
        <w:rPr>
          <w:rFonts w:asciiTheme="majorBidi" w:hAnsiTheme="majorBidi" w:cstheme="majorBidi"/>
          <w:b/>
          <w:bCs/>
          <w:sz w:val="24"/>
          <w:szCs w:val="24"/>
        </w:rPr>
        <w:t>:</w:t>
      </w:r>
    </w:p>
    <w:p w14:paraId="04054535" w14:textId="7A798840" w:rsidR="005B38B1" w:rsidRPr="005B38B1" w:rsidRDefault="004C7D6F" w:rsidP="005B38B1">
      <w:pPr>
        <w:widowControl w:val="0"/>
        <w:autoSpaceDE w:val="0"/>
        <w:autoSpaceDN w:val="0"/>
        <w:adjustRightInd w:val="0"/>
        <w:spacing w:before="100" w:after="100" w:line="480" w:lineRule="auto"/>
        <w:ind w:left="480" w:hanging="480"/>
        <w:rPr>
          <w:rFonts w:ascii="Times New Roman" w:eastAsia="Times New Roman" w:hAnsi="Times New Roman" w:cs="Times New Roman"/>
          <w:noProof/>
        </w:rPr>
      </w:pPr>
      <w:r w:rsidRPr="008604BD">
        <w:rPr>
          <w:rFonts w:asciiTheme="majorBidi" w:hAnsiTheme="majorBidi" w:cstheme="majorBidi"/>
        </w:rPr>
        <w:fldChar w:fldCharType="begin" w:fldLock="1"/>
      </w:r>
      <w:r w:rsidRPr="008604BD">
        <w:rPr>
          <w:rFonts w:asciiTheme="majorBidi" w:hAnsiTheme="majorBidi" w:cstheme="majorBidi"/>
        </w:rPr>
        <w:instrText xml:space="preserve">ADDIN Mendeley Bibliography CSL_BIBLIOGRAPHY </w:instrText>
      </w:r>
      <w:r w:rsidRPr="008604BD">
        <w:rPr>
          <w:rFonts w:asciiTheme="majorBidi" w:hAnsiTheme="majorBidi" w:cstheme="majorBidi"/>
        </w:rPr>
        <w:fldChar w:fldCharType="separate"/>
      </w:r>
      <w:r w:rsidR="005B38B1" w:rsidRPr="005B38B1">
        <w:rPr>
          <w:rFonts w:ascii="Times New Roman" w:eastAsia="Times New Roman" w:hAnsi="Times New Roman" w:cs="Times New Roman"/>
          <w:noProof/>
        </w:rPr>
        <w:t xml:space="preserve">Dunham, R.J., 1962, Classification of carbonate rocks according to depositional texture, </w:t>
      </w:r>
      <w:r w:rsidR="005B38B1" w:rsidRPr="005B38B1">
        <w:rPr>
          <w:rFonts w:ascii="Times New Roman" w:eastAsia="Times New Roman" w:hAnsi="Times New Roman" w:cs="Times New Roman"/>
          <w:i/>
          <w:iCs/>
          <w:noProof/>
        </w:rPr>
        <w:t>in</w:t>
      </w:r>
      <w:r w:rsidR="005B38B1" w:rsidRPr="005B38B1">
        <w:rPr>
          <w:rFonts w:ascii="Times New Roman" w:eastAsia="Times New Roman" w:hAnsi="Times New Roman" w:cs="Times New Roman"/>
          <w:noProof/>
        </w:rPr>
        <w:t xml:space="preserve"> M 1: Classification of Carbonate Rocks--A Symposium, p. 23.</w:t>
      </w:r>
    </w:p>
    <w:p w14:paraId="593CA7A4" w14:textId="77777777" w:rsidR="005B38B1" w:rsidRPr="005B38B1" w:rsidRDefault="005B38B1" w:rsidP="005B38B1">
      <w:pPr>
        <w:widowControl w:val="0"/>
        <w:autoSpaceDE w:val="0"/>
        <w:autoSpaceDN w:val="0"/>
        <w:adjustRightInd w:val="0"/>
        <w:spacing w:before="100" w:after="100" w:line="480" w:lineRule="auto"/>
        <w:ind w:left="480" w:hanging="480"/>
        <w:rPr>
          <w:rFonts w:ascii="Times New Roman" w:eastAsia="Times New Roman" w:hAnsi="Times New Roman" w:cs="Times New Roman"/>
          <w:noProof/>
        </w:rPr>
      </w:pPr>
      <w:r w:rsidRPr="005B38B1">
        <w:rPr>
          <w:rFonts w:ascii="Times New Roman" w:eastAsia="Times New Roman" w:hAnsi="Times New Roman" w:cs="Times New Roman"/>
          <w:noProof/>
        </w:rPr>
        <w:t>Konert, G., Afifi,  a. M., Al-Hajri, S. a., and Droste, H.J., 2001, Paleozoic stratigraphy and hydrocarbon habitat of the Arabian plate: GeoArabia, v. 6, p. 407–442.</w:t>
      </w:r>
    </w:p>
    <w:p w14:paraId="06F830EC" w14:textId="77777777" w:rsidR="005B38B1" w:rsidRPr="005B38B1" w:rsidRDefault="005B38B1" w:rsidP="005B38B1">
      <w:pPr>
        <w:widowControl w:val="0"/>
        <w:autoSpaceDE w:val="0"/>
        <w:autoSpaceDN w:val="0"/>
        <w:adjustRightInd w:val="0"/>
        <w:spacing w:before="100" w:after="100" w:line="480" w:lineRule="auto"/>
        <w:ind w:left="480" w:hanging="480"/>
        <w:rPr>
          <w:rFonts w:ascii="Times New Roman" w:hAnsi="Times New Roman" w:cs="Times New Roman"/>
          <w:noProof/>
        </w:rPr>
      </w:pPr>
      <w:r w:rsidRPr="005B38B1">
        <w:rPr>
          <w:rFonts w:ascii="Times New Roman" w:eastAsia="Times New Roman" w:hAnsi="Times New Roman" w:cs="Times New Roman"/>
          <w:noProof/>
        </w:rPr>
        <w:t>Luthi, S.M., and Souhaité, P., 1990, Fracture apertures from electrical borehole scans: Geophysics, v. 55, no. 7, p. 821–833.</w:t>
      </w:r>
    </w:p>
    <w:p w14:paraId="3DB5C4CB" w14:textId="557A639A" w:rsidR="000E7ED9" w:rsidRPr="008604BD" w:rsidRDefault="004C7D6F" w:rsidP="005B38B1">
      <w:pPr>
        <w:widowControl w:val="0"/>
        <w:autoSpaceDE w:val="0"/>
        <w:autoSpaceDN w:val="0"/>
        <w:adjustRightInd w:val="0"/>
        <w:spacing w:before="100" w:after="100" w:line="480" w:lineRule="auto"/>
        <w:ind w:left="480" w:hanging="480"/>
        <w:rPr>
          <w:rFonts w:asciiTheme="majorBidi" w:hAnsiTheme="majorBidi" w:cstheme="majorBidi"/>
        </w:rPr>
      </w:pPr>
      <w:r w:rsidRPr="008604BD">
        <w:rPr>
          <w:rFonts w:asciiTheme="majorBidi" w:hAnsiTheme="majorBidi" w:cstheme="majorBidi"/>
        </w:rPr>
        <w:fldChar w:fldCharType="end"/>
      </w:r>
    </w:p>
    <w:sectPr w:rsidR="000E7ED9" w:rsidRPr="008604BD" w:rsidSect="002B35D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32DF5" w14:textId="77777777" w:rsidR="008666EB" w:rsidRDefault="008666EB" w:rsidP="009A55CA">
      <w:r>
        <w:separator/>
      </w:r>
    </w:p>
  </w:endnote>
  <w:endnote w:type="continuationSeparator" w:id="0">
    <w:p w14:paraId="2E38FB7B" w14:textId="77777777" w:rsidR="008666EB" w:rsidRDefault="008666EB" w:rsidP="009A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77F34" w14:textId="77777777" w:rsidR="008666EB" w:rsidRDefault="008666EB" w:rsidP="009A55CA">
      <w:r>
        <w:separator/>
      </w:r>
    </w:p>
  </w:footnote>
  <w:footnote w:type="continuationSeparator" w:id="0">
    <w:p w14:paraId="666411E1" w14:textId="77777777" w:rsidR="008666EB" w:rsidRDefault="008666EB" w:rsidP="009A55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C7989"/>
    <w:multiLevelType w:val="hybridMultilevel"/>
    <w:tmpl w:val="F2463094"/>
    <w:lvl w:ilvl="0" w:tplc="A1DAAD7C">
      <w:start w:val="1"/>
      <w:numFmt w:val="decimal"/>
      <w:lvlText w:val="%1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0C5FDE"/>
    <w:multiLevelType w:val="hybridMultilevel"/>
    <w:tmpl w:val="59FC91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344"/>
    <w:rsid w:val="0000099C"/>
    <w:rsid w:val="00021501"/>
    <w:rsid w:val="00026F94"/>
    <w:rsid w:val="000321C6"/>
    <w:rsid w:val="00042EFE"/>
    <w:rsid w:val="00045C17"/>
    <w:rsid w:val="000616F7"/>
    <w:rsid w:val="00066C0E"/>
    <w:rsid w:val="00091AC2"/>
    <w:rsid w:val="00092515"/>
    <w:rsid w:val="0009478B"/>
    <w:rsid w:val="000A4D00"/>
    <w:rsid w:val="000A674E"/>
    <w:rsid w:val="000B717A"/>
    <w:rsid w:val="000C6E17"/>
    <w:rsid w:val="000E0DFB"/>
    <w:rsid w:val="0010489B"/>
    <w:rsid w:val="00115E2E"/>
    <w:rsid w:val="00123D6B"/>
    <w:rsid w:val="00130E97"/>
    <w:rsid w:val="001313DB"/>
    <w:rsid w:val="00156C53"/>
    <w:rsid w:val="00162A07"/>
    <w:rsid w:val="0016546D"/>
    <w:rsid w:val="0017029A"/>
    <w:rsid w:val="00171FB6"/>
    <w:rsid w:val="0017248D"/>
    <w:rsid w:val="00175969"/>
    <w:rsid w:val="00190F79"/>
    <w:rsid w:val="001B0BFB"/>
    <w:rsid w:val="001E08A8"/>
    <w:rsid w:val="001E219F"/>
    <w:rsid w:val="001E34B4"/>
    <w:rsid w:val="001E6FCF"/>
    <w:rsid w:val="001F4D93"/>
    <w:rsid w:val="00201758"/>
    <w:rsid w:val="00206F3C"/>
    <w:rsid w:val="00222FD7"/>
    <w:rsid w:val="00225CFC"/>
    <w:rsid w:val="002343C1"/>
    <w:rsid w:val="002450DB"/>
    <w:rsid w:val="002533AA"/>
    <w:rsid w:val="002561BA"/>
    <w:rsid w:val="002651D7"/>
    <w:rsid w:val="00271CA9"/>
    <w:rsid w:val="0028065B"/>
    <w:rsid w:val="00285F47"/>
    <w:rsid w:val="002A6FD4"/>
    <w:rsid w:val="002B35DF"/>
    <w:rsid w:val="002B4CEF"/>
    <w:rsid w:val="002B6F26"/>
    <w:rsid w:val="002E36E9"/>
    <w:rsid w:val="0030094E"/>
    <w:rsid w:val="00302350"/>
    <w:rsid w:val="00307159"/>
    <w:rsid w:val="003139AD"/>
    <w:rsid w:val="003305DA"/>
    <w:rsid w:val="00354404"/>
    <w:rsid w:val="00357781"/>
    <w:rsid w:val="00364580"/>
    <w:rsid w:val="003853DD"/>
    <w:rsid w:val="00385E81"/>
    <w:rsid w:val="00386EEF"/>
    <w:rsid w:val="003A1C85"/>
    <w:rsid w:val="003B4125"/>
    <w:rsid w:val="003C61DF"/>
    <w:rsid w:val="003C6EEA"/>
    <w:rsid w:val="003D48E4"/>
    <w:rsid w:val="00402ABB"/>
    <w:rsid w:val="004216A4"/>
    <w:rsid w:val="00422289"/>
    <w:rsid w:val="00423433"/>
    <w:rsid w:val="00432BD2"/>
    <w:rsid w:val="00447C93"/>
    <w:rsid w:val="00450C0E"/>
    <w:rsid w:val="00461F4D"/>
    <w:rsid w:val="00464E96"/>
    <w:rsid w:val="00474244"/>
    <w:rsid w:val="00484D72"/>
    <w:rsid w:val="004A4AC4"/>
    <w:rsid w:val="004B57DB"/>
    <w:rsid w:val="004C7D6F"/>
    <w:rsid w:val="0050111A"/>
    <w:rsid w:val="0051236F"/>
    <w:rsid w:val="00514582"/>
    <w:rsid w:val="00526E06"/>
    <w:rsid w:val="0052755A"/>
    <w:rsid w:val="00534408"/>
    <w:rsid w:val="00540485"/>
    <w:rsid w:val="00543274"/>
    <w:rsid w:val="00552D1B"/>
    <w:rsid w:val="00554D60"/>
    <w:rsid w:val="00566389"/>
    <w:rsid w:val="00575CD6"/>
    <w:rsid w:val="00587E2F"/>
    <w:rsid w:val="005A46E5"/>
    <w:rsid w:val="005A576D"/>
    <w:rsid w:val="005A7A5A"/>
    <w:rsid w:val="005B38B1"/>
    <w:rsid w:val="005C7977"/>
    <w:rsid w:val="005C7E98"/>
    <w:rsid w:val="005D79AD"/>
    <w:rsid w:val="005E23D7"/>
    <w:rsid w:val="005E48DB"/>
    <w:rsid w:val="005F439C"/>
    <w:rsid w:val="005F73C3"/>
    <w:rsid w:val="00601965"/>
    <w:rsid w:val="00607BE9"/>
    <w:rsid w:val="006120AB"/>
    <w:rsid w:val="00632856"/>
    <w:rsid w:val="006417AE"/>
    <w:rsid w:val="0065478E"/>
    <w:rsid w:val="00662AB6"/>
    <w:rsid w:val="006638A3"/>
    <w:rsid w:val="006773C1"/>
    <w:rsid w:val="00681963"/>
    <w:rsid w:val="00681C7B"/>
    <w:rsid w:val="006910A6"/>
    <w:rsid w:val="006972A1"/>
    <w:rsid w:val="006A55AE"/>
    <w:rsid w:val="006D375A"/>
    <w:rsid w:val="006E5382"/>
    <w:rsid w:val="006E6C1F"/>
    <w:rsid w:val="00710861"/>
    <w:rsid w:val="00731536"/>
    <w:rsid w:val="00733814"/>
    <w:rsid w:val="00740198"/>
    <w:rsid w:val="00741101"/>
    <w:rsid w:val="007529DB"/>
    <w:rsid w:val="00752C63"/>
    <w:rsid w:val="0075596B"/>
    <w:rsid w:val="00763288"/>
    <w:rsid w:val="007755B4"/>
    <w:rsid w:val="00780C49"/>
    <w:rsid w:val="007823EB"/>
    <w:rsid w:val="00795C51"/>
    <w:rsid w:val="007A46FB"/>
    <w:rsid w:val="007B1888"/>
    <w:rsid w:val="007B3314"/>
    <w:rsid w:val="007C651F"/>
    <w:rsid w:val="007D0EBB"/>
    <w:rsid w:val="007F0395"/>
    <w:rsid w:val="00812EA5"/>
    <w:rsid w:val="00813F8C"/>
    <w:rsid w:val="00821CDF"/>
    <w:rsid w:val="00824F08"/>
    <w:rsid w:val="008451A5"/>
    <w:rsid w:val="00853F4C"/>
    <w:rsid w:val="008566A9"/>
    <w:rsid w:val="008604BD"/>
    <w:rsid w:val="008666EB"/>
    <w:rsid w:val="008714D2"/>
    <w:rsid w:val="00890B6E"/>
    <w:rsid w:val="008950BB"/>
    <w:rsid w:val="008A3DD2"/>
    <w:rsid w:val="008B6D28"/>
    <w:rsid w:val="008C13D4"/>
    <w:rsid w:val="008D56B2"/>
    <w:rsid w:val="008D6929"/>
    <w:rsid w:val="008E7CB5"/>
    <w:rsid w:val="008F3CB4"/>
    <w:rsid w:val="00900029"/>
    <w:rsid w:val="00912DE9"/>
    <w:rsid w:val="009139AF"/>
    <w:rsid w:val="009307E9"/>
    <w:rsid w:val="0093715C"/>
    <w:rsid w:val="00944546"/>
    <w:rsid w:val="0095002A"/>
    <w:rsid w:val="00961B94"/>
    <w:rsid w:val="00966CBE"/>
    <w:rsid w:val="00971735"/>
    <w:rsid w:val="0098575A"/>
    <w:rsid w:val="00986383"/>
    <w:rsid w:val="00992E9C"/>
    <w:rsid w:val="0099530F"/>
    <w:rsid w:val="009A55CA"/>
    <w:rsid w:val="009B580F"/>
    <w:rsid w:val="009B653E"/>
    <w:rsid w:val="009E470E"/>
    <w:rsid w:val="009E477E"/>
    <w:rsid w:val="009F787B"/>
    <w:rsid w:val="009F7FD5"/>
    <w:rsid w:val="00A003DB"/>
    <w:rsid w:val="00A1438E"/>
    <w:rsid w:val="00A22897"/>
    <w:rsid w:val="00A30859"/>
    <w:rsid w:val="00A3427F"/>
    <w:rsid w:val="00A50C64"/>
    <w:rsid w:val="00A50E54"/>
    <w:rsid w:val="00A54419"/>
    <w:rsid w:val="00A60BA9"/>
    <w:rsid w:val="00A72701"/>
    <w:rsid w:val="00A92540"/>
    <w:rsid w:val="00AB7D1C"/>
    <w:rsid w:val="00AD0356"/>
    <w:rsid w:val="00AF1A0A"/>
    <w:rsid w:val="00AF359B"/>
    <w:rsid w:val="00B023D4"/>
    <w:rsid w:val="00B04435"/>
    <w:rsid w:val="00B113DD"/>
    <w:rsid w:val="00B2234E"/>
    <w:rsid w:val="00B24082"/>
    <w:rsid w:val="00B406DB"/>
    <w:rsid w:val="00B6543A"/>
    <w:rsid w:val="00B75360"/>
    <w:rsid w:val="00B76A63"/>
    <w:rsid w:val="00B82295"/>
    <w:rsid w:val="00B833C5"/>
    <w:rsid w:val="00B9323A"/>
    <w:rsid w:val="00BA1DB8"/>
    <w:rsid w:val="00BB765F"/>
    <w:rsid w:val="00BC2253"/>
    <w:rsid w:val="00BC4F0B"/>
    <w:rsid w:val="00BE4223"/>
    <w:rsid w:val="00BF4C13"/>
    <w:rsid w:val="00C004EB"/>
    <w:rsid w:val="00C01C1A"/>
    <w:rsid w:val="00C2123B"/>
    <w:rsid w:val="00C37FA0"/>
    <w:rsid w:val="00C4389E"/>
    <w:rsid w:val="00C465AA"/>
    <w:rsid w:val="00C502D4"/>
    <w:rsid w:val="00C5324F"/>
    <w:rsid w:val="00C76B94"/>
    <w:rsid w:val="00C92C16"/>
    <w:rsid w:val="00CA07AA"/>
    <w:rsid w:val="00CA1CA1"/>
    <w:rsid w:val="00CB2966"/>
    <w:rsid w:val="00CC13E6"/>
    <w:rsid w:val="00CD6E46"/>
    <w:rsid w:val="00CE4B7D"/>
    <w:rsid w:val="00CF2106"/>
    <w:rsid w:val="00CF5FDD"/>
    <w:rsid w:val="00CF7BF6"/>
    <w:rsid w:val="00D067A8"/>
    <w:rsid w:val="00D1670C"/>
    <w:rsid w:val="00D172CE"/>
    <w:rsid w:val="00D32912"/>
    <w:rsid w:val="00D365C8"/>
    <w:rsid w:val="00D45471"/>
    <w:rsid w:val="00D54793"/>
    <w:rsid w:val="00D61E0F"/>
    <w:rsid w:val="00D625DC"/>
    <w:rsid w:val="00D62D79"/>
    <w:rsid w:val="00D861F8"/>
    <w:rsid w:val="00D9297B"/>
    <w:rsid w:val="00D93330"/>
    <w:rsid w:val="00D9702E"/>
    <w:rsid w:val="00DC68CA"/>
    <w:rsid w:val="00DC7A75"/>
    <w:rsid w:val="00DF5AF7"/>
    <w:rsid w:val="00DF7472"/>
    <w:rsid w:val="00E173B7"/>
    <w:rsid w:val="00E21CB0"/>
    <w:rsid w:val="00E302E0"/>
    <w:rsid w:val="00E363DA"/>
    <w:rsid w:val="00E57676"/>
    <w:rsid w:val="00E5773C"/>
    <w:rsid w:val="00E913F3"/>
    <w:rsid w:val="00EA64EB"/>
    <w:rsid w:val="00EB1C81"/>
    <w:rsid w:val="00EB6DA6"/>
    <w:rsid w:val="00EC39DF"/>
    <w:rsid w:val="00ED002E"/>
    <w:rsid w:val="00EE2BC7"/>
    <w:rsid w:val="00EE2F0C"/>
    <w:rsid w:val="00EF5A00"/>
    <w:rsid w:val="00F175CB"/>
    <w:rsid w:val="00F24183"/>
    <w:rsid w:val="00F52100"/>
    <w:rsid w:val="00F53F3B"/>
    <w:rsid w:val="00F62774"/>
    <w:rsid w:val="00F62B46"/>
    <w:rsid w:val="00F67D82"/>
    <w:rsid w:val="00F73091"/>
    <w:rsid w:val="00F80137"/>
    <w:rsid w:val="00F803CC"/>
    <w:rsid w:val="00F83B5A"/>
    <w:rsid w:val="00F84344"/>
    <w:rsid w:val="00F9248A"/>
    <w:rsid w:val="00F94196"/>
    <w:rsid w:val="00FB6F79"/>
    <w:rsid w:val="00FC0341"/>
    <w:rsid w:val="00FC220A"/>
    <w:rsid w:val="00FE66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73A06B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4344"/>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4344"/>
    <w:pPr>
      <w:spacing w:before="100" w:beforeAutospacing="1" w:after="100" w:afterAutospacing="1"/>
    </w:pPr>
    <w:rPr>
      <w:rFonts w:ascii="Times" w:hAnsi="Times" w:cs="Times New Roman"/>
      <w:sz w:val="20"/>
      <w:szCs w:val="20"/>
    </w:rPr>
  </w:style>
  <w:style w:type="paragraph" w:styleId="Caption">
    <w:name w:val="caption"/>
    <w:basedOn w:val="Normal"/>
    <w:next w:val="Normal"/>
    <w:uiPriority w:val="35"/>
    <w:qFormat/>
    <w:rsid w:val="00F84344"/>
    <w:pPr>
      <w:keepNext/>
      <w:keepLines/>
      <w:spacing w:before="200" w:after="200"/>
      <w:jc w:val="center"/>
    </w:pPr>
    <w:rPr>
      <w:rFonts w:eastAsia="Times New Roman" w:cs="Times New Roman"/>
      <w:sz w:val="22"/>
      <w:szCs w:val="20"/>
    </w:rPr>
  </w:style>
  <w:style w:type="paragraph" w:styleId="BalloonText">
    <w:name w:val="Balloon Text"/>
    <w:basedOn w:val="Normal"/>
    <w:link w:val="BalloonTextChar"/>
    <w:uiPriority w:val="99"/>
    <w:semiHidden/>
    <w:unhideWhenUsed/>
    <w:rsid w:val="00F843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4344"/>
    <w:rPr>
      <w:rFonts w:ascii="Times New Roman" w:eastAsiaTheme="minorEastAsia" w:hAnsi="Times New Roman" w:cs="Times New Roman"/>
      <w:sz w:val="18"/>
      <w:szCs w:val="18"/>
      <w:lang w:val="en-US"/>
    </w:rPr>
  </w:style>
  <w:style w:type="table" w:styleId="TableGrid">
    <w:name w:val="Table Grid"/>
    <w:basedOn w:val="TableNormal"/>
    <w:uiPriority w:val="39"/>
    <w:rsid w:val="006A5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55CA"/>
    <w:pPr>
      <w:tabs>
        <w:tab w:val="center" w:pos="4513"/>
        <w:tab w:val="right" w:pos="9026"/>
      </w:tabs>
    </w:pPr>
  </w:style>
  <w:style w:type="character" w:customStyle="1" w:styleId="HeaderChar">
    <w:name w:val="Header Char"/>
    <w:basedOn w:val="DefaultParagraphFont"/>
    <w:link w:val="Header"/>
    <w:uiPriority w:val="99"/>
    <w:rsid w:val="009A55CA"/>
    <w:rPr>
      <w:rFonts w:eastAsiaTheme="minorEastAsia"/>
      <w:lang w:val="en-US"/>
    </w:rPr>
  </w:style>
  <w:style w:type="paragraph" w:styleId="Footer">
    <w:name w:val="footer"/>
    <w:basedOn w:val="Normal"/>
    <w:link w:val="FooterChar"/>
    <w:uiPriority w:val="99"/>
    <w:unhideWhenUsed/>
    <w:rsid w:val="009A55CA"/>
    <w:pPr>
      <w:tabs>
        <w:tab w:val="center" w:pos="4513"/>
        <w:tab w:val="right" w:pos="9026"/>
      </w:tabs>
    </w:pPr>
  </w:style>
  <w:style w:type="character" w:customStyle="1" w:styleId="FooterChar">
    <w:name w:val="Footer Char"/>
    <w:basedOn w:val="DefaultParagraphFont"/>
    <w:link w:val="Footer"/>
    <w:uiPriority w:val="99"/>
    <w:rsid w:val="009A55CA"/>
    <w:rPr>
      <w:rFonts w:eastAsiaTheme="minorEastAsia"/>
      <w:lang w:val="en-US"/>
    </w:rPr>
  </w:style>
  <w:style w:type="character" w:styleId="Hyperlink">
    <w:name w:val="Hyperlink"/>
    <w:basedOn w:val="DefaultParagraphFont"/>
    <w:uiPriority w:val="99"/>
    <w:semiHidden/>
    <w:unhideWhenUsed/>
    <w:rsid w:val="0095002A"/>
    <w:rPr>
      <w:color w:val="0563C1"/>
      <w:u w:val="single"/>
    </w:rPr>
  </w:style>
  <w:style w:type="character" w:styleId="FollowedHyperlink">
    <w:name w:val="FollowedHyperlink"/>
    <w:basedOn w:val="DefaultParagraphFont"/>
    <w:uiPriority w:val="99"/>
    <w:semiHidden/>
    <w:unhideWhenUsed/>
    <w:rsid w:val="0095002A"/>
    <w:rPr>
      <w:color w:val="954F72"/>
      <w:u w:val="single"/>
    </w:rPr>
  </w:style>
  <w:style w:type="paragraph" w:customStyle="1" w:styleId="xl63">
    <w:name w:val="xl63"/>
    <w:basedOn w:val="Normal"/>
    <w:rsid w:val="009500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heme="minorHAnsi" w:hAnsi="Times New Roman" w:cs="Times New Roman"/>
      <w:sz w:val="16"/>
      <w:szCs w:val="16"/>
      <w:lang w:val="en-GB" w:eastAsia="en-GB"/>
    </w:rPr>
  </w:style>
  <w:style w:type="paragraph" w:customStyle="1" w:styleId="xl64">
    <w:name w:val="xl64"/>
    <w:basedOn w:val="Normal"/>
    <w:rsid w:val="0095002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HAnsi" w:hAnsi="Times New Roman" w:cs="Times New Roman"/>
      <w:sz w:val="16"/>
      <w:szCs w:val="16"/>
      <w:lang w:val="en-GB" w:eastAsia="en-GB"/>
    </w:rPr>
  </w:style>
  <w:style w:type="paragraph" w:customStyle="1" w:styleId="xl65">
    <w:name w:val="xl65"/>
    <w:basedOn w:val="Normal"/>
    <w:rsid w:val="0095002A"/>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Times New Roman" w:eastAsiaTheme="minorHAnsi" w:hAnsi="Times New Roman" w:cs="Times New Roman"/>
      <w:sz w:val="16"/>
      <w:szCs w:val="16"/>
      <w:lang w:val="en-GB" w:eastAsia="en-GB"/>
    </w:rPr>
  </w:style>
  <w:style w:type="paragraph" w:customStyle="1" w:styleId="xl66">
    <w:name w:val="xl66"/>
    <w:basedOn w:val="Normal"/>
    <w:rsid w:val="0095002A"/>
    <w:pPr>
      <w:pBdr>
        <w:top w:val="single" w:sz="4" w:space="0" w:color="auto"/>
        <w:bottom w:val="single" w:sz="4" w:space="0" w:color="auto"/>
      </w:pBdr>
      <w:shd w:val="clear" w:color="000000" w:fill="FFFF00"/>
      <w:spacing w:before="100" w:beforeAutospacing="1" w:after="100" w:afterAutospacing="1"/>
      <w:jc w:val="center"/>
    </w:pPr>
    <w:rPr>
      <w:rFonts w:ascii="Times New Roman" w:eastAsiaTheme="minorHAnsi" w:hAnsi="Times New Roman" w:cs="Times New Roman"/>
      <w:sz w:val="16"/>
      <w:szCs w:val="16"/>
      <w:lang w:val="en-GB" w:eastAsia="en-GB"/>
    </w:rPr>
  </w:style>
  <w:style w:type="paragraph" w:customStyle="1" w:styleId="xl67">
    <w:name w:val="xl67"/>
    <w:basedOn w:val="Normal"/>
    <w:rsid w:val="0095002A"/>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heme="minorHAnsi" w:hAnsi="Times New Roman" w:cs="Times New Roman"/>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675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1553</Words>
  <Characters>8855</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cp:lastPrinted>2017-03-28T11:21:00Z</cp:lastPrinted>
  <dcterms:created xsi:type="dcterms:W3CDTF">2017-05-23T16:55:00Z</dcterms:created>
  <dcterms:modified xsi:type="dcterms:W3CDTF">2017-12-06T21:06:00Z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http://www.zotero.org/styles/geology</vt:lpwstr>
  </property>
  <property fmtid="{D5CDD505-2E9C-101B-9397-08002B2CF9AE}" pid="4" name="Mendeley Unique User Id_1">
    <vt:lpwstr>85503717-4069-319f-8171-c02238bc7655</vt:lpwstr>
  </property>
</Properties>
</file>