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38C4AD" w14:textId="39E07FCA" w:rsidR="007B342A" w:rsidRPr="00092518" w:rsidRDefault="007B342A" w:rsidP="000925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4"/>
          <w:szCs w:val="24"/>
        </w:rPr>
      </w:pPr>
      <w:r w:rsidRPr="00092518">
        <w:rPr>
          <w:rFonts w:ascii="Calibri" w:hAnsi="Calibri" w:cs="Calibri"/>
          <w:b/>
          <w:sz w:val="24"/>
          <w:szCs w:val="24"/>
        </w:rPr>
        <w:t>Figure S1.</w:t>
      </w:r>
      <w:r w:rsidRPr="00092518">
        <w:rPr>
          <w:rFonts w:ascii="Calibri" w:hAnsi="Calibri" w:cs="Calibri"/>
          <w:sz w:val="24"/>
          <w:szCs w:val="24"/>
        </w:rPr>
        <w:t xml:space="preserve">  Primitive-mantle-normalized multi-element plot for Monte </w:t>
      </w:r>
      <w:proofErr w:type="spellStart"/>
      <w:r w:rsidRPr="00092518">
        <w:rPr>
          <w:rFonts w:ascii="Calibri" w:hAnsi="Calibri" w:cs="Calibri"/>
          <w:sz w:val="24"/>
          <w:szCs w:val="24"/>
        </w:rPr>
        <w:t>Arcuentu</w:t>
      </w:r>
      <w:proofErr w:type="spellEnd"/>
      <w:r w:rsidRPr="00092518">
        <w:rPr>
          <w:rFonts w:ascii="Calibri" w:hAnsi="Calibri" w:cs="Calibri"/>
          <w:sz w:val="24"/>
          <w:szCs w:val="24"/>
        </w:rPr>
        <w:t xml:space="preserve"> volcanic rocks. The grey field shows the total range of concentrations for each element. Individual samples plotted are those analyzed for </w:t>
      </w:r>
      <w:proofErr w:type="spellStart"/>
      <w:r w:rsidRPr="00092518">
        <w:rPr>
          <w:rFonts w:ascii="Calibri" w:hAnsi="Calibri" w:cs="Calibri"/>
          <w:sz w:val="24"/>
          <w:szCs w:val="24"/>
        </w:rPr>
        <w:t>Hf</w:t>
      </w:r>
      <w:proofErr w:type="spellEnd"/>
      <w:r w:rsidRPr="00092518">
        <w:rPr>
          <w:rFonts w:ascii="Calibri" w:hAnsi="Calibri" w:cs="Calibri"/>
          <w:sz w:val="24"/>
          <w:szCs w:val="24"/>
        </w:rPr>
        <w:t xml:space="preserve"> and </w:t>
      </w:r>
      <w:proofErr w:type="spellStart"/>
      <w:r w:rsidRPr="00092518">
        <w:rPr>
          <w:rFonts w:ascii="Calibri" w:hAnsi="Calibri" w:cs="Calibri"/>
          <w:sz w:val="24"/>
          <w:szCs w:val="24"/>
        </w:rPr>
        <w:t>Pb</w:t>
      </w:r>
      <w:proofErr w:type="spellEnd"/>
      <w:r w:rsidRPr="00092518">
        <w:rPr>
          <w:rFonts w:ascii="Calibri" w:hAnsi="Calibri" w:cs="Calibri"/>
          <w:sz w:val="24"/>
          <w:szCs w:val="24"/>
        </w:rPr>
        <w:t xml:space="preserve"> isotopes in this study. Normalizing values from Sun and McDonough (1989).</w:t>
      </w:r>
    </w:p>
    <w:p w14:paraId="56DDCB8F" w14:textId="74933179" w:rsidR="007B342A" w:rsidRDefault="00092518" w:rsidP="007B342A">
      <w:pPr>
        <w:pStyle w:val="ReferenceHead"/>
        <w:spacing w:line="480" w:lineRule="auto"/>
        <w:jc w:val="both"/>
        <w:rPr>
          <w:rFonts w:ascii="Calibri" w:hAnsi="Calibri" w:cs="Calibri"/>
          <w:b w:val="0"/>
        </w:rPr>
      </w:pPr>
      <w:r>
        <w:rPr>
          <w:rFonts w:ascii="Calibri" w:hAnsi="Calibri" w:cs="Calibri"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2673C2F6" wp14:editId="44A4499B">
            <wp:simplePos x="0" y="0"/>
            <wp:positionH relativeFrom="column">
              <wp:posOffset>69850</wp:posOffset>
            </wp:positionH>
            <wp:positionV relativeFrom="paragraph">
              <wp:posOffset>162560</wp:posOffset>
            </wp:positionV>
            <wp:extent cx="5164455" cy="3651885"/>
            <wp:effectExtent l="0" t="0" r="0" b="571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ider Fig 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6" t="17709"/>
                    <a:stretch/>
                  </pic:blipFill>
                  <pic:spPr bwMode="auto">
                    <a:xfrm>
                      <a:off x="0" y="0"/>
                      <a:ext cx="5164455" cy="3651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D70075" w14:textId="77777777" w:rsidR="007B342A" w:rsidRPr="00092518" w:rsidRDefault="007B342A" w:rsidP="00092518">
      <w:pPr>
        <w:pStyle w:val="ReferenceHead"/>
        <w:spacing w:line="259" w:lineRule="auto"/>
        <w:ind w:left="720" w:hanging="720"/>
        <w:jc w:val="both"/>
        <w:rPr>
          <w:rFonts w:ascii="Calibri" w:hAnsi="Calibri" w:cs="Calibri"/>
          <w:b w:val="0"/>
          <w:iCs/>
          <w:sz w:val="22"/>
          <w:szCs w:val="22"/>
        </w:rPr>
      </w:pPr>
      <w:r w:rsidRPr="00092518">
        <w:rPr>
          <w:rFonts w:ascii="Calibri" w:hAnsi="Calibri" w:cs="Calibri"/>
          <w:b w:val="0"/>
          <w:bCs/>
          <w:sz w:val="22"/>
          <w:szCs w:val="22"/>
        </w:rPr>
        <w:t>Sun, S.S. and McDonough, W.F., 1989,</w:t>
      </w:r>
      <w:r w:rsidRPr="00092518">
        <w:rPr>
          <w:rFonts w:ascii="Calibri" w:hAnsi="Calibri" w:cs="Calibri"/>
          <w:b w:val="0"/>
          <w:sz w:val="22"/>
          <w:szCs w:val="22"/>
        </w:rPr>
        <w:t xml:space="preserve"> Chemical and isotopic systematics of oceanic basalts; implications for mantle composition and processes, </w:t>
      </w:r>
      <w:r w:rsidRPr="00092518">
        <w:rPr>
          <w:rFonts w:ascii="Calibri" w:hAnsi="Calibri" w:cs="Calibri"/>
          <w:b w:val="0"/>
          <w:i/>
          <w:sz w:val="22"/>
          <w:szCs w:val="22"/>
        </w:rPr>
        <w:t>in</w:t>
      </w:r>
      <w:r w:rsidRPr="00092518">
        <w:rPr>
          <w:rFonts w:ascii="Calibri" w:hAnsi="Calibri" w:cs="Calibri"/>
          <w:b w:val="0"/>
          <w:iCs/>
          <w:sz w:val="22"/>
          <w:szCs w:val="22"/>
        </w:rPr>
        <w:t xml:space="preserve"> Magmatism in the ocean basins. Saunders, A.D. and </w:t>
      </w:r>
      <w:proofErr w:type="spellStart"/>
      <w:r w:rsidRPr="00092518">
        <w:rPr>
          <w:rFonts w:ascii="Calibri" w:hAnsi="Calibri" w:cs="Calibri"/>
          <w:b w:val="0"/>
          <w:iCs/>
          <w:sz w:val="22"/>
          <w:szCs w:val="22"/>
        </w:rPr>
        <w:t>Norry</w:t>
      </w:r>
      <w:proofErr w:type="spellEnd"/>
      <w:r w:rsidRPr="00092518">
        <w:rPr>
          <w:rFonts w:ascii="Calibri" w:hAnsi="Calibri" w:cs="Calibri"/>
          <w:b w:val="0"/>
          <w:iCs/>
          <w:sz w:val="22"/>
          <w:szCs w:val="22"/>
        </w:rPr>
        <w:t>, M.J., eds., Geological Society of London, London, v. 42, p. 313-345.</w:t>
      </w:r>
    </w:p>
    <w:p w14:paraId="74394904" w14:textId="77777777" w:rsidR="007B342A" w:rsidRDefault="007B342A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br w:type="page"/>
      </w:r>
    </w:p>
    <w:p w14:paraId="43E702C9" w14:textId="25F8FD65" w:rsidR="007B342A" w:rsidRPr="00092518" w:rsidRDefault="004C47E1" w:rsidP="00FA3D3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5975AFD1" wp14:editId="5F5705D1">
            <wp:simplePos x="0" y="0"/>
            <wp:positionH relativeFrom="column">
              <wp:posOffset>0</wp:posOffset>
            </wp:positionH>
            <wp:positionV relativeFrom="paragraph">
              <wp:posOffset>742315</wp:posOffset>
            </wp:positionV>
            <wp:extent cx="5943600" cy="397573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2 SiO2 v maj traces v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6"/>
                    <a:stretch/>
                  </pic:blipFill>
                  <pic:spPr bwMode="auto">
                    <a:xfrm>
                      <a:off x="0" y="0"/>
                      <a:ext cx="5943600" cy="397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B342A" w:rsidRPr="00092518">
        <w:rPr>
          <w:rFonts w:ascii="Calibri" w:hAnsi="Calibri" w:cs="Calibri"/>
          <w:b/>
          <w:sz w:val="24"/>
          <w:szCs w:val="24"/>
        </w:rPr>
        <w:t>Figure S2</w:t>
      </w:r>
      <w:r w:rsidR="007B342A" w:rsidRPr="00092518">
        <w:rPr>
          <w:rFonts w:ascii="Calibri" w:hAnsi="Calibri" w:cs="Calibri"/>
          <w:sz w:val="24"/>
          <w:szCs w:val="24"/>
        </w:rPr>
        <w:t>. SiO</w:t>
      </w:r>
      <w:r w:rsidR="007B342A" w:rsidRPr="00092518">
        <w:rPr>
          <w:rFonts w:ascii="Calibri" w:hAnsi="Calibri" w:cs="Calibri"/>
          <w:sz w:val="24"/>
          <w:szCs w:val="24"/>
          <w:vertAlign w:val="subscript"/>
        </w:rPr>
        <w:t>2</w:t>
      </w:r>
      <w:r w:rsidR="007B342A" w:rsidRPr="00092518">
        <w:rPr>
          <w:rFonts w:ascii="Calibri" w:hAnsi="Calibri" w:cs="Calibri"/>
          <w:sz w:val="24"/>
          <w:szCs w:val="24"/>
        </w:rPr>
        <w:t xml:space="preserve"> vs selected major and trace elements from Monte </w:t>
      </w:r>
      <w:proofErr w:type="spellStart"/>
      <w:r w:rsidR="007B342A" w:rsidRPr="00092518">
        <w:rPr>
          <w:rFonts w:ascii="Calibri" w:hAnsi="Calibri" w:cs="Calibri"/>
          <w:sz w:val="24"/>
          <w:szCs w:val="24"/>
        </w:rPr>
        <w:t>Arcuentu</w:t>
      </w:r>
      <w:proofErr w:type="spellEnd"/>
      <w:r w:rsidR="007B342A" w:rsidRPr="00092518">
        <w:rPr>
          <w:rFonts w:ascii="Calibri" w:hAnsi="Calibri" w:cs="Calibri"/>
          <w:sz w:val="24"/>
          <w:szCs w:val="24"/>
        </w:rPr>
        <w:t xml:space="preserve"> and other </w:t>
      </w:r>
      <w:r w:rsidR="008E1CD8">
        <w:rPr>
          <w:rFonts w:ascii="Calibri" w:hAnsi="Calibri" w:cs="Calibri"/>
          <w:sz w:val="24"/>
          <w:szCs w:val="24"/>
        </w:rPr>
        <w:t xml:space="preserve">Sardinia </w:t>
      </w:r>
      <w:r w:rsidR="007B342A" w:rsidRPr="00092518">
        <w:rPr>
          <w:rFonts w:ascii="Calibri" w:hAnsi="Calibri" w:cs="Calibri"/>
          <w:sz w:val="24"/>
          <w:szCs w:val="24"/>
        </w:rPr>
        <w:t>SR rocks. Data sources as in Figure 2.</w:t>
      </w:r>
      <w:r w:rsidR="00501F22" w:rsidRPr="00501F22">
        <w:rPr>
          <w:rFonts w:ascii="Calibri" w:hAnsi="Calibri" w:cs="Calibri"/>
          <w:noProof/>
          <w:color w:val="000000"/>
          <w:sz w:val="24"/>
          <w:szCs w:val="24"/>
        </w:rPr>
        <w:t xml:space="preserve"> </w:t>
      </w:r>
    </w:p>
    <w:p w14:paraId="1062A5F9" w14:textId="23310BDB" w:rsidR="007B342A" w:rsidRDefault="007B342A" w:rsidP="00FA3D37">
      <w:pPr>
        <w:autoSpaceDE w:val="0"/>
        <w:autoSpaceDN w:val="0"/>
        <w:adjustRightInd w:val="0"/>
        <w:spacing w:after="0" w:line="240" w:lineRule="auto"/>
        <w:rPr>
          <w:rFonts w:ascii="AdvEPSTIM" w:hAnsi="AdvEPSTIM" w:cs="AdvEPSTIM"/>
          <w:color w:val="000000"/>
          <w:sz w:val="18"/>
          <w:szCs w:val="18"/>
        </w:rPr>
      </w:pPr>
    </w:p>
    <w:p w14:paraId="338609D7" w14:textId="4A19C05D" w:rsidR="002740A2" w:rsidRDefault="002740A2" w:rsidP="00FA3D37">
      <w:pPr>
        <w:autoSpaceDE w:val="0"/>
        <w:autoSpaceDN w:val="0"/>
        <w:adjustRightInd w:val="0"/>
        <w:spacing w:after="0" w:line="240" w:lineRule="auto"/>
        <w:rPr>
          <w:rFonts w:ascii="AdvEPSTIM" w:hAnsi="AdvEPSTIM" w:cs="AdvEPSTIM"/>
          <w:color w:val="000000"/>
          <w:sz w:val="18"/>
          <w:szCs w:val="18"/>
        </w:rPr>
      </w:pPr>
    </w:p>
    <w:p w14:paraId="33DE72BA" w14:textId="5D73B113" w:rsidR="00092518" w:rsidRDefault="00092518">
      <w:pPr>
        <w:rPr>
          <w:rFonts w:ascii="AdvEPSTIM" w:hAnsi="AdvEPSTIM" w:cs="AdvEPSTIM"/>
          <w:color w:val="000000"/>
          <w:sz w:val="18"/>
          <w:szCs w:val="18"/>
        </w:rPr>
      </w:pPr>
      <w:r>
        <w:rPr>
          <w:rFonts w:ascii="AdvEPSTIM" w:hAnsi="AdvEPSTIM" w:cs="AdvEPSTIM"/>
          <w:color w:val="000000"/>
          <w:sz w:val="18"/>
          <w:szCs w:val="18"/>
        </w:rPr>
        <w:br w:type="page"/>
      </w:r>
    </w:p>
    <w:p w14:paraId="3DF6CCF1" w14:textId="25D92C9F" w:rsidR="00C50F13" w:rsidRDefault="00C50F13" w:rsidP="00C50F13">
      <w:pPr>
        <w:autoSpaceDE w:val="0"/>
        <w:autoSpaceDN w:val="0"/>
        <w:adjustRightInd w:val="0"/>
        <w:spacing w:after="60" w:line="264" w:lineRule="auto"/>
        <w:jc w:val="both"/>
        <w:rPr>
          <w:rFonts w:ascii="Calibri" w:hAnsi="Calibri" w:cs="Calibri"/>
          <w:b/>
          <w:i/>
          <w:color w:val="000000"/>
          <w:sz w:val="24"/>
          <w:szCs w:val="24"/>
        </w:rPr>
      </w:pPr>
      <w:bookmarkStart w:id="0" w:name="_Hlk498869386"/>
      <w:r>
        <w:rPr>
          <w:rFonts w:ascii="Calibri" w:hAnsi="Calibri" w:cs="Calibri"/>
          <w:b/>
          <w:i/>
          <w:color w:val="000000"/>
          <w:sz w:val="24"/>
          <w:szCs w:val="24"/>
        </w:rPr>
        <w:t xml:space="preserve">Figure S3.  Detailed </w:t>
      </w:r>
      <w:r w:rsidRPr="00C50F13">
        <w:rPr>
          <w:rFonts w:ascii="Calibri" w:hAnsi="Calibri" w:cs="Calibri"/>
          <w:b/>
          <w:i/>
          <w:color w:val="000000"/>
          <w:sz w:val="24"/>
          <w:szCs w:val="24"/>
          <w:vertAlign w:val="superscript"/>
        </w:rPr>
        <w:t>87</w:t>
      </w:r>
      <w:r>
        <w:rPr>
          <w:rFonts w:ascii="Calibri" w:hAnsi="Calibri" w:cs="Calibri"/>
          <w:b/>
          <w:i/>
          <w:color w:val="000000"/>
          <w:sz w:val="24"/>
          <w:szCs w:val="24"/>
        </w:rPr>
        <w:t>Sr/</w:t>
      </w:r>
      <w:r w:rsidRPr="00C50F13">
        <w:rPr>
          <w:rFonts w:ascii="Calibri" w:hAnsi="Calibri" w:cs="Calibri"/>
          <w:b/>
          <w:i/>
          <w:color w:val="000000"/>
          <w:sz w:val="24"/>
          <w:szCs w:val="24"/>
          <w:vertAlign w:val="superscript"/>
        </w:rPr>
        <w:t>86</w:t>
      </w:r>
      <w:r>
        <w:rPr>
          <w:rFonts w:ascii="Calibri" w:hAnsi="Calibri" w:cs="Calibri"/>
          <w:b/>
          <w:i/>
          <w:color w:val="000000"/>
          <w:sz w:val="24"/>
          <w:szCs w:val="24"/>
        </w:rPr>
        <w:t>Sr v SiO</w:t>
      </w:r>
      <w:r w:rsidRPr="00C50F13">
        <w:rPr>
          <w:rFonts w:ascii="Calibri" w:hAnsi="Calibri" w:cs="Calibri"/>
          <w:b/>
          <w:i/>
          <w:color w:val="000000"/>
          <w:sz w:val="24"/>
          <w:szCs w:val="24"/>
          <w:vertAlign w:val="subscript"/>
        </w:rPr>
        <w:t>2</w:t>
      </w:r>
      <w:r>
        <w:rPr>
          <w:rFonts w:ascii="Calibri" w:hAnsi="Calibri" w:cs="Calibri"/>
          <w:b/>
          <w:i/>
          <w:color w:val="000000"/>
          <w:sz w:val="24"/>
          <w:szCs w:val="24"/>
        </w:rPr>
        <w:t xml:space="preserve"> variations</w:t>
      </w:r>
      <w:r w:rsidR="00CC7557">
        <w:rPr>
          <w:rFonts w:ascii="Calibri" w:hAnsi="Calibri" w:cs="Calibri"/>
          <w:b/>
          <w:i/>
          <w:color w:val="000000"/>
          <w:sz w:val="24"/>
          <w:szCs w:val="24"/>
        </w:rPr>
        <w:t xml:space="preserve"> for Andean rocks</w:t>
      </w:r>
      <w:r>
        <w:rPr>
          <w:rFonts w:ascii="Calibri" w:hAnsi="Calibri" w:cs="Calibri"/>
          <w:b/>
          <w:i/>
          <w:color w:val="000000"/>
          <w:sz w:val="24"/>
          <w:szCs w:val="24"/>
        </w:rPr>
        <w:t xml:space="preserve"> in support of Figure 9A</w:t>
      </w:r>
    </w:p>
    <w:p w14:paraId="468BA4A2" w14:textId="6AA4B2DC" w:rsidR="009E1F70" w:rsidRPr="00C32C72" w:rsidRDefault="00881424" w:rsidP="00C50F1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68580" distL="114300" distR="114300" simplePos="0" relativeHeight="251689984" behindDoc="0" locked="0" layoutInCell="1" allowOverlap="1" wp14:anchorId="7330475A" wp14:editId="617B58DE">
            <wp:simplePos x="0" y="0"/>
            <wp:positionH relativeFrom="column">
              <wp:posOffset>9525</wp:posOffset>
            </wp:positionH>
            <wp:positionV relativeFrom="paragraph">
              <wp:posOffset>2309495</wp:posOffset>
            </wp:positionV>
            <wp:extent cx="5935345" cy="2743200"/>
            <wp:effectExtent l="0" t="0" r="8255" b="0"/>
            <wp:wrapTopAndBottom/>
            <wp:docPr id="3" name="Picture 3" descr="A picture containing map, text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3A&amp;B SrvSi Ande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5"/>
                    <a:stretch/>
                  </pic:blipFill>
                  <pic:spPr bwMode="auto">
                    <a:xfrm>
                      <a:off x="0" y="0"/>
                      <a:ext cx="593534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612D0" w:rsidRPr="00C32C72">
        <w:rPr>
          <w:noProof/>
          <w:sz w:val="24"/>
          <w:szCs w:val="24"/>
        </w:rPr>
        <w:t xml:space="preserve">Data used to </w:t>
      </w:r>
      <w:r w:rsidR="00650750" w:rsidRPr="00C32C72">
        <w:rPr>
          <w:sz w:val="24"/>
          <w:szCs w:val="24"/>
        </w:rPr>
        <w:t xml:space="preserve">construct the fields </w:t>
      </w:r>
      <w:r w:rsidR="00C50F13" w:rsidRPr="00C32C72">
        <w:rPr>
          <w:sz w:val="24"/>
          <w:szCs w:val="24"/>
        </w:rPr>
        <w:t xml:space="preserve">in Figure 9A for the </w:t>
      </w:r>
      <w:r w:rsidR="00140149" w:rsidRPr="00C32C72">
        <w:rPr>
          <w:sz w:val="24"/>
          <w:szCs w:val="24"/>
        </w:rPr>
        <w:t xml:space="preserve">frontal arcs of the </w:t>
      </w:r>
      <w:r w:rsidR="00C50F13" w:rsidRPr="00C32C72">
        <w:rPr>
          <w:sz w:val="24"/>
          <w:szCs w:val="24"/>
        </w:rPr>
        <w:t xml:space="preserve">Northern, Central and Southern </w:t>
      </w:r>
      <w:r w:rsidR="00140149" w:rsidRPr="00C32C72">
        <w:rPr>
          <w:sz w:val="24"/>
          <w:szCs w:val="24"/>
        </w:rPr>
        <w:t>Volcanic Zones (NVZ, CVZ, SVZ) of the Andes</w:t>
      </w:r>
      <w:r w:rsidR="000612D0" w:rsidRPr="00C32C72">
        <w:rPr>
          <w:sz w:val="24"/>
          <w:szCs w:val="24"/>
        </w:rPr>
        <w:t xml:space="preserve"> are shown </w:t>
      </w:r>
      <w:r w:rsidR="00CC7557" w:rsidRPr="00C32C72">
        <w:rPr>
          <w:sz w:val="24"/>
          <w:szCs w:val="24"/>
        </w:rPr>
        <w:t xml:space="preserve">relative to the data for the </w:t>
      </w:r>
      <w:proofErr w:type="spellStart"/>
      <w:r w:rsidR="00CC7557" w:rsidRPr="00C32C72">
        <w:rPr>
          <w:sz w:val="24"/>
          <w:szCs w:val="24"/>
        </w:rPr>
        <w:t>Arcuentu</w:t>
      </w:r>
      <w:proofErr w:type="spellEnd"/>
      <w:r w:rsidR="00CC7557" w:rsidRPr="00C32C72">
        <w:rPr>
          <w:sz w:val="24"/>
          <w:szCs w:val="24"/>
        </w:rPr>
        <w:t xml:space="preserve"> Complex </w:t>
      </w:r>
      <w:r w:rsidR="000612D0" w:rsidRPr="00C32C72">
        <w:rPr>
          <w:sz w:val="24"/>
          <w:szCs w:val="24"/>
        </w:rPr>
        <w:t>in Figure S3A</w:t>
      </w:r>
      <w:r w:rsidR="00C50F13" w:rsidRPr="00C32C72">
        <w:rPr>
          <w:sz w:val="24"/>
          <w:szCs w:val="24"/>
        </w:rPr>
        <w:t xml:space="preserve">. </w:t>
      </w:r>
      <w:r w:rsidR="00EF5D10" w:rsidRPr="00C32C72">
        <w:rPr>
          <w:sz w:val="24"/>
          <w:szCs w:val="24"/>
        </w:rPr>
        <w:t>D</w:t>
      </w:r>
      <w:r w:rsidR="00C50F13" w:rsidRPr="00C32C72">
        <w:rPr>
          <w:sz w:val="24"/>
          <w:szCs w:val="24"/>
        </w:rPr>
        <w:t xml:space="preserve">ata </w:t>
      </w:r>
      <w:r w:rsidR="00483F8C">
        <w:rPr>
          <w:sz w:val="24"/>
          <w:szCs w:val="24"/>
        </w:rPr>
        <w:t xml:space="preserve">sources are </w:t>
      </w:r>
      <w:r w:rsidR="002905BE" w:rsidRPr="00C32C72">
        <w:rPr>
          <w:sz w:val="24"/>
          <w:szCs w:val="24"/>
        </w:rPr>
        <w:t xml:space="preserve">as </w:t>
      </w:r>
      <w:r w:rsidR="00483F8C">
        <w:rPr>
          <w:sz w:val="24"/>
          <w:szCs w:val="24"/>
        </w:rPr>
        <w:t xml:space="preserve">given </w:t>
      </w:r>
      <w:r w:rsidR="002905BE" w:rsidRPr="00C32C72">
        <w:rPr>
          <w:sz w:val="24"/>
          <w:szCs w:val="24"/>
        </w:rPr>
        <w:t>in Figure 9.</w:t>
      </w:r>
      <w:r w:rsidR="00EF5D10" w:rsidRPr="00C32C72">
        <w:rPr>
          <w:sz w:val="24"/>
          <w:szCs w:val="24"/>
        </w:rPr>
        <w:t xml:space="preserve"> Dotted lines are second order polynomial regressions fitted to each data set</w:t>
      </w:r>
      <w:r w:rsidR="00BE6B67" w:rsidRPr="00C32C72">
        <w:rPr>
          <w:sz w:val="24"/>
          <w:szCs w:val="24"/>
        </w:rPr>
        <w:t xml:space="preserve"> as indicated in the figure key</w:t>
      </w:r>
      <w:r w:rsidR="00EF5D10" w:rsidRPr="00C32C72">
        <w:rPr>
          <w:sz w:val="24"/>
          <w:szCs w:val="24"/>
        </w:rPr>
        <w:t>.</w:t>
      </w:r>
      <w:r w:rsidR="00704201" w:rsidRPr="00C32C72">
        <w:rPr>
          <w:sz w:val="24"/>
          <w:szCs w:val="24"/>
        </w:rPr>
        <w:t xml:space="preserve"> </w:t>
      </w:r>
      <w:r w:rsidRPr="00C32C72">
        <w:rPr>
          <w:sz w:val="24"/>
          <w:szCs w:val="24"/>
        </w:rPr>
        <w:t>The CVZ shows the greatest compositional diversity</w:t>
      </w:r>
      <w:r>
        <w:rPr>
          <w:sz w:val="24"/>
          <w:szCs w:val="24"/>
        </w:rPr>
        <w:t xml:space="preserve">, but for </w:t>
      </w:r>
      <w:r w:rsidR="002800BE" w:rsidRPr="00C32C72">
        <w:rPr>
          <w:sz w:val="24"/>
          <w:szCs w:val="24"/>
        </w:rPr>
        <w:t>a</w:t>
      </w:r>
      <w:r w:rsidR="00704201" w:rsidRPr="00C32C72">
        <w:rPr>
          <w:sz w:val="24"/>
          <w:szCs w:val="24"/>
        </w:rPr>
        <w:t xml:space="preserve">ll three regions </w:t>
      </w:r>
      <w:r w:rsidR="002800BE" w:rsidRPr="00C32C72">
        <w:rPr>
          <w:sz w:val="24"/>
          <w:szCs w:val="24"/>
        </w:rPr>
        <w:t xml:space="preserve">the </w:t>
      </w:r>
      <w:r w:rsidR="00704201" w:rsidRPr="00C32C72">
        <w:rPr>
          <w:sz w:val="24"/>
          <w:szCs w:val="24"/>
        </w:rPr>
        <w:t xml:space="preserve">increase in </w:t>
      </w:r>
      <w:r w:rsidR="00704201" w:rsidRPr="00C32C72">
        <w:rPr>
          <w:sz w:val="24"/>
          <w:szCs w:val="24"/>
          <w:vertAlign w:val="superscript"/>
        </w:rPr>
        <w:t>87</w:t>
      </w:r>
      <w:r w:rsidR="00704201" w:rsidRPr="00C32C72">
        <w:rPr>
          <w:sz w:val="24"/>
          <w:szCs w:val="24"/>
        </w:rPr>
        <w:t>Sr/</w:t>
      </w:r>
      <w:r w:rsidR="00704201" w:rsidRPr="00C32C72">
        <w:rPr>
          <w:sz w:val="24"/>
          <w:szCs w:val="24"/>
          <w:vertAlign w:val="superscript"/>
        </w:rPr>
        <w:t>86</w:t>
      </w:r>
      <w:r w:rsidR="00704201" w:rsidRPr="00C32C72">
        <w:rPr>
          <w:sz w:val="24"/>
          <w:szCs w:val="24"/>
        </w:rPr>
        <w:t>Sr with increasing SiO</w:t>
      </w:r>
      <w:r w:rsidR="00704201" w:rsidRPr="00C32C72">
        <w:rPr>
          <w:sz w:val="24"/>
          <w:szCs w:val="24"/>
          <w:vertAlign w:val="subscript"/>
        </w:rPr>
        <w:t>2</w:t>
      </w:r>
      <w:r w:rsidR="00704201" w:rsidRPr="00C32C72">
        <w:rPr>
          <w:sz w:val="24"/>
          <w:szCs w:val="24"/>
        </w:rPr>
        <w:t xml:space="preserve"> </w:t>
      </w:r>
      <w:r w:rsidR="002800BE" w:rsidRPr="00C32C72">
        <w:rPr>
          <w:sz w:val="24"/>
          <w:szCs w:val="24"/>
        </w:rPr>
        <w:t xml:space="preserve">is significantly less </w:t>
      </w:r>
      <w:r w:rsidR="00704201" w:rsidRPr="00C32C72">
        <w:rPr>
          <w:sz w:val="24"/>
          <w:szCs w:val="24"/>
        </w:rPr>
        <w:t xml:space="preserve">than </w:t>
      </w:r>
      <w:r w:rsidR="002800BE" w:rsidRPr="00C32C72">
        <w:rPr>
          <w:sz w:val="24"/>
          <w:szCs w:val="24"/>
        </w:rPr>
        <w:t xml:space="preserve">that for </w:t>
      </w:r>
      <w:r w:rsidR="00704201" w:rsidRPr="00C32C72">
        <w:rPr>
          <w:sz w:val="24"/>
          <w:szCs w:val="24"/>
        </w:rPr>
        <w:t xml:space="preserve">the </w:t>
      </w:r>
      <w:proofErr w:type="spellStart"/>
      <w:r w:rsidR="00704201" w:rsidRPr="00C32C72">
        <w:rPr>
          <w:sz w:val="24"/>
          <w:szCs w:val="24"/>
        </w:rPr>
        <w:t>Arcuentu</w:t>
      </w:r>
      <w:proofErr w:type="spellEnd"/>
      <w:r w:rsidR="00704201" w:rsidRPr="00C32C72">
        <w:rPr>
          <w:sz w:val="24"/>
          <w:szCs w:val="24"/>
        </w:rPr>
        <w:t xml:space="preserve"> Complex</w:t>
      </w:r>
      <w:r>
        <w:rPr>
          <w:sz w:val="24"/>
          <w:szCs w:val="24"/>
        </w:rPr>
        <w:t xml:space="preserve">. </w:t>
      </w:r>
      <w:r w:rsidR="00FB27DD">
        <w:rPr>
          <w:sz w:val="24"/>
          <w:szCs w:val="24"/>
        </w:rPr>
        <w:t>Note that, i</w:t>
      </w:r>
      <w:r w:rsidR="000948AB" w:rsidRPr="00C32C72">
        <w:rPr>
          <w:sz w:val="24"/>
          <w:szCs w:val="24"/>
        </w:rPr>
        <w:t xml:space="preserve">n contrast to </w:t>
      </w:r>
      <w:r w:rsidR="003B5CFC" w:rsidRPr="00C32C72">
        <w:rPr>
          <w:sz w:val="24"/>
          <w:szCs w:val="24"/>
        </w:rPr>
        <w:t xml:space="preserve">Monte </w:t>
      </w:r>
      <w:proofErr w:type="spellStart"/>
      <w:r w:rsidR="000948AB" w:rsidRPr="00C32C72">
        <w:rPr>
          <w:sz w:val="24"/>
          <w:szCs w:val="24"/>
        </w:rPr>
        <w:t>Arcuentu</w:t>
      </w:r>
      <w:proofErr w:type="spellEnd"/>
      <w:r w:rsidR="000948AB" w:rsidRPr="00C32C72">
        <w:rPr>
          <w:sz w:val="24"/>
          <w:szCs w:val="24"/>
        </w:rPr>
        <w:t xml:space="preserve">, which is a single volcanic complex, the Andean data encompass multiple volcanic centers </w:t>
      </w:r>
      <w:r w:rsidR="00222B98" w:rsidRPr="00C32C72">
        <w:rPr>
          <w:sz w:val="24"/>
          <w:szCs w:val="24"/>
        </w:rPr>
        <w:t xml:space="preserve">along several </w:t>
      </w:r>
      <w:r w:rsidR="000948AB" w:rsidRPr="00C32C72">
        <w:rPr>
          <w:sz w:val="24"/>
          <w:szCs w:val="24"/>
        </w:rPr>
        <w:t>thousand kilometers</w:t>
      </w:r>
      <w:r w:rsidR="00222B98" w:rsidRPr="00C32C72">
        <w:rPr>
          <w:sz w:val="24"/>
          <w:szCs w:val="24"/>
        </w:rPr>
        <w:t xml:space="preserve"> of arc length.</w:t>
      </w:r>
      <w:r w:rsidR="003B5CFC" w:rsidRPr="00C32C72">
        <w:rPr>
          <w:sz w:val="24"/>
          <w:szCs w:val="24"/>
        </w:rPr>
        <w:t xml:space="preserve"> Although an exhaustive survey </w:t>
      </w:r>
      <w:r w:rsidR="00DE4CA5" w:rsidRPr="00C32C72">
        <w:rPr>
          <w:sz w:val="24"/>
          <w:szCs w:val="24"/>
        </w:rPr>
        <w:t>is beyond the scope of this paper</w:t>
      </w:r>
      <w:r w:rsidR="003B5CFC" w:rsidRPr="00C32C72">
        <w:rPr>
          <w:sz w:val="24"/>
          <w:szCs w:val="24"/>
        </w:rPr>
        <w:t>, individual stratovolcanoes within the CVZ show similar shallow slopes on this diagram</w:t>
      </w:r>
      <w:r w:rsidR="00FB27DD">
        <w:rPr>
          <w:sz w:val="24"/>
          <w:szCs w:val="24"/>
        </w:rPr>
        <w:t xml:space="preserve">.  </w:t>
      </w:r>
      <w:r w:rsidR="00395907">
        <w:rPr>
          <w:sz w:val="24"/>
          <w:szCs w:val="24"/>
        </w:rPr>
        <w:t>In the interest of clarity, only five representative localities are shown in Figure S3B, but other arc-front centers</w:t>
      </w:r>
      <w:r w:rsidR="00FB27DD">
        <w:rPr>
          <w:sz w:val="24"/>
          <w:szCs w:val="24"/>
        </w:rPr>
        <w:t xml:space="preserve"> examined</w:t>
      </w:r>
      <w:r w:rsidR="00395907">
        <w:rPr>
          <w:sz w:val="24"/>
          <w:szCs w:val="24"/>
        </w:rPr>
        <w:t xml:space="preserve"> show similar variations.</w:t>
      </w:r>
    </w:p>
    <w:p w14:paraId="4FD07E60" w14:textId="2A981405" w:rsidR="00646BCD" w:rsidRPr="00C32C72" w:rsidRDefault="00FB27DD" w:rsidP="00646BCD">
      <w:pPr>
        <w:spacing w:after="60"/>
        <w:rPr>
          <w:color w:val="000000" w:themeColor="text1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41FD3345" wp14:editId="5737A652">
            <wp:simplePos x="0" y="0"/>
            <wp:positionH relativeFrom="column">
              <wp:posOffset>3012440</wp:posOffset>
            </wp:positionH>
            <wp:positionV relativeFrom="paragraph">
              <wp:posOffset>2873466</wp:posOffset>
            </wp:positionV>
            <wp:extent cx="3043555" cy="2800350"/>
            <wp:effectExtent l="0" t="0" r="4445" b="0"/>
            <wp:wrapSquare wrapText="bothSides"/>
            <wp:docPr id="4" name="Picture 4" descr="A picture containing text, map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3C SrvSi Ande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49"/>
                    <a:stretch/>
                  </pic:blipFill>
                  <pic:spPr bwMode="auto">
                    <a:xfrm>
                      <a:off x="0" y="0"/>
                      <a:ext cx="3043555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B98" w:rsidRPr="00C32C72">
        <w:rPr>
          <w:sz w:val="24"/>
          <w:szCs w:val="24"/>
        </w:rPr>
        <w:t>Volcanic products from regions behind the main arc are compositionally more heterogeneous</w:t>
      </w:r>
      <w:r w:rsidR="00EF5D10" w:rsidRPr="00C32C72">
        <w:rPr>
          <w:sz w:val="24"/>
          <w:szCs w:val="24"/>
        </w:rPr>
        <w:t xml:space="preserve">, particularly </w:t>
      </w:r>
      <w:r w:rsidR="00222B98" w:rsidRPr="00C32C72">
        <w:rPr>
          <w:sz w:val="24"/>
          <w:szCs w:val="24"/>
        </w:rPr>
        <w:t xml:space="preserve">in </w:t>
      </w:r>
      <w:r w:rsidR="00EF5D10" w:rsidRPr="00C32C72">
        <w:rPr>
          <w:sz w:val="24"/>
          <w:szCs w:val="24"/>
        </w:rPr>
        <w:t xml:space="preserve">the </w:t>
      </w:r>
      <w:r w:rsidR="00704201" w:rsidRPr="00C32C72">
        <w:rPr>
          <w:sz w:val="24"/>
          <w:szCs w:val="24"/>
        </w:rPr>
        <w:t>Altiplano-</w:t>
      </w:r>
      <w:proofErr w:type="spellStart"/>
      <w:r w:rsidR="00704201" w:rsidRPr="00C32C72">
        <w:rPr>
          <w:sz w:val="24"/>
          <w:szCs w:val="24"/>
        </w:rPr>
        <w:t>Puna</w:t>
      </w:r>
      <w:proofErr w:type="spellEnd"/>
      <w:r w:rsidR="00704201" w:rsidRPr="00C32C72">
        <w:rPr>
          <w:sz w:val="24"/>
          <w:szCs w:val="24"/>
        </w:rPr>
        <w:t xml:space="preserve"> </w:t>
      </w:r>
      <w:r w:rsidR="00517F44" w:rsidRPr="00C32C72">
        <w:rPr>
          <w:sz w:val="24"/>
          <w:szCs w:val="24"/>
        </w:rPr>
        <w:t xml:space="preserve">region </w:t>
      </w:r>
      <w:r w:rsidR="000C761E" w:rsidRPr="00C32C72">
        <w:rPr>
          <w:sz w:val="24"/>
          <w:szCs w:val="24"/>
        </w:rPr>
        <w:t>east of</w:t>
      </w:r>
      <w:r w:rsidR="00704201" w:rsidRPr="00C32C72">
        <w:rPr>
          <w:sz w:val="24"/>
          <w:szCs w:val="24"/>
        </w:rPr>
        <w:t xml:space="preserve"> the </w:t>
      </w:r>
      <w:r w:rsidR="00EF5D10" w:rsidRPr="00C32C72">
        <w:rPr>
          <w:sz w:val="24"/>
          <w:szCs w:val="24"/>
        </w:rPr>
        <w:t xml:space="preserve">CVZ. </w:t>
      </w:r>
      <w:r w:rsidR="00271B1C" w:rsidRPr="00C32C72">
        <w:rPr>
          <w:sz w:val="24"/>
          <w:szCs w:val="24"/>
        </w:rPr>
        <w:t>Again, a</w:t>
      </w:r>
      <w:r w:rsidR="00852253" w:rsidRPr="00C32C72">
        <w:rPr>
          <w:sz w:val="24"/>
          <w:szCs w:val="24"/>
        </w:rPr>
        <w:t xml:space="preserve"> detailed analysis</w:t>
      </w:r>
      <w:r w:rsidR="006D7C36" w:rsidRPr="00C32C72">
        <w:rPr>
          <w:sz w:val="24"/>
          <w:szCs w:val="24"/>
        </w:rPr>
        <w:t xml:space="preserve"> is beyond the scope of this paper, but </w:t>
      </w:r>
      <w:r w:rsidR="00466A70" w:rsidRPr="00C32C72">
        <w:rPr>
          <w:sz w:val="24"/>
          <w:szCs w:val="24"/>
        </w:rPr>
        <w:t>Figure S3</w:t>
      </w:r>
      <w:r w:rsidR="00E24354" w:rsidRPr="00C32C72">
        <w:rPr>
          <w:sz w:val="24"/>
          <w:szCs w:val="24"/>
        </w:rPr>
        <w:t>C</w:t>
      </w:r>
      <w:r w:rsidR="00466A70" w:rsidRPr="00C32C72">
        <w:rPr>
          <w:sz w:val="24"/>
          <w:szCs w:val="24"/>
        </w:rPr>
        <w:t xml:space="preserve"> shows that</w:t>
      </w:r>
      <w:r w:rsidR="006D7C36" w:rsidRPr="00C32C72">
        <w:rPr>
          <w:sz w:val="24"/>
          <w:szCs w:val="24"/>
        </w:rPr>
        <w:t xml:space="preserve"> </w:t>
      </w:r>
      <w:r w:rsidR="00753290" w:rsidRPr="00C32C72">
        <w:rPr>
          <w:sz w:val="24"/>
          <w:szCs w:val="24"/>
        </w:rPr>
        <w:t xml:space="preserve">the </w:t>
      </w:r>
      <w:r w:rsidR="00753290" w:rsidRPr="00C32C72">
        <w:rPr>
          <w:sz w:val="24"/>
          <w:szCs w:val="24"/>
          <w:vertAlign w:val="superscript"/>
        </w:rPr>
        <w:t>87</w:t>
      </w:r>
      <w:r w:rsidR="00753290" w:rsidRPr="00C32C72">
        <w:rPr>
          <w:sz w:val="24"/>
          <w:szCs w:val="24"/>
        </w:rPr>
        <w:t>Sr/</w:t>
      </w:r>
      <w:r w:rsidR="00753290" w:rsidRPr="00C32C72">
        <w:rPr>
          <w:sz w:val="24"/>
          <w:szCs w:val="24"/>
          <w:vertAlign w:val="superscript"/>
        </w:rPr>
        <w:t>86</w:t>
      </w:r>
      <w:r w:rsidR="00753290" w:rsidRPr="00C32C72">
        <w:rPr>
          <w:sz w:val="24"/>
          <w:szCs w:val="24"/>
        </w:rPr>
        <w:t xml:space="preserve">Sr for </w:t>
      </w:r>
      <w:r w:rsidR="00EE30F9" w:rsidRPr="00C32C72">
        <w:rPr>
          <w:sz w:val="24"/>
          <w:szCs w:val="24"/>
        </w:rPr>
        <w:t xml:space="preserve">most </w:t>
      </w:r>
      <w:r w:rsidR="00A60C25" w:rsidRPr="00C32C72">
        <w:rPr>
          <w:sz w:val="24"/>
          <w:szCs w:val="24"/>
        </w:rPr>
        <w:t>CVZ back</w:t>
      </w:r>
      <w:r w:rsidR="00395907">
        <w:rPr>
          <w:sz w:val="24"/>
          <w:szCs w:val="24"/>
        </w:rPr>
        <w:t>-</w:t>
      </w:r>
      <w:r w:rsidR="00A60C25" w:rsidRPr="00C32C72">
        <w:rPr>
          <w:sz w:val="24"/>
          <w:szCs w:val="24"/>
        </w:rPr>
        <w:t xml:space="preserve">arc </w:t>
      </w:r>
      <w:r w:rsidR="009012BA" w:rsidRPr="00C32C72">
        <w:rPr>
          <w:sz w:val="24"/>
          <w:szCs w:val="24"/>
        </w:rPr>
        <w:t>eruptive products, other than ignimbrites</w:t>
      </w:r>
      <w:r w:rsidR="00EE30F9" w:rsidRPr="00C32C72">
        <w:rPr>
          <w:color w:val="000000" w:themeColor="text1"/>
          <w:sz w:val="24"/>
          <w:szCs w:val="24"/>
        </w:rPr>
        <w:t>,</w:t>
      </w:r>
      <w:r w:rsidR="009012BA" w:rsidRPr="00C32C72">
        <w:rPr>
          <w:color w:val="000000" w:themeColor="text1"/>
          <w:sz w:val="24"/>
          <w:szCs w:val="24"/>
        </w:rPr>
        <w:t xml:space="preserve"> </w:t>
      </w:r>
      <w:r w:rsidR="00F374CD" w:rsidRPr="00C32C72">
        <w:rPr>
          <w:color w:val="000000" w:themeColor="text1"/>
          <w:sz w:val="24"/>
          <w:szCs w:val="24"/>
        </w:rPr>
        <w:t>fall within a narrow range of 0.705</w:t>
      </w:r>
      <w:r w:rsidR="001A7C46" w:rsidRPr="00C32C72">
        <w:rPr>
          <w:color w:val="000000" w:themeColor="text1"/>
          <w:sz w:val="24"/>
          <w:szCs w:val="24"/>
        </w:rPr>
        <w:t>0</w:t>
      </w:r>
      <w:r w:rsidR="00F374CD" w:rsidRPr="00C32C72">
        <w:rPr>
          <w:color w:val="000000" w:themeColor="text1"/>
          <w:sz w:val="24"/>
          <w:szCs w:val="24"/>
        </w:rPr>
        <w:t xml:space="preserve"> – 0.708</w:t>
      </w:r>
      <w:r w:rsidR="001A7C46" w:rsidRPr="00C32C72">
        <w:rPr>
          <w:color w:val="000000" w:themeColor="text1"/>
          <w:sz w:val="24"/>
          <w:szCs w:val="24"/>
        </w:rPr>
        <w:t>5</w:t>
      </w:r>
      <w:r w:rsidR="00F374CD" w:rsidRPr="00C32C72">
        <w:rPr>
          <w:color w:val="000000" w:themeColor="text1"/>
          <w:sz w:val="24"/>
          <w:szCs w:val="24"/>
        </w:rPr>
        <w:t xml:space="preserve"> and </w:t>
      </w:r>
      <w:r w:rsidR="009012BA" w:rsidRPr="00C32C72">
        <w:rPr>
          <w:color w:val="000000" w:themeColor="text1"/>
          <w:sz w:val="24"/>
          <w:szCs w:val="24"/>
        </w:rPr>
        <w:t xml:space="preserve">overlap </w:t>
      </w:r>
      <w:r w:rsidR="009012BA" w:rsidRPr="00C32C72">
        <w:rPr>
          <w:sz w:val="24"/>
          <w:szCs w:val="24"/>
        </w:rPr>
        <w:t>the field for the CVZ arc front</w:t>
      </w:r>
      <w:r w:rsidR="00EE30F9" w:rsidRPr="00C32C72">
        <w:rPr>
          <w:sz w:val="24"/>
          <w:szCs w:val="24"/>
        </w:rPr>
        <w:t xml:space="preserve"> (shaded field)</w:t>
      </w:r>
      <w:r w:rsidR="00F374CD" w:rsidRPr="00C32C72">
        <w:rPr>
          <w:sz w:val="24"/>
          <w:szCs w:val="24"/>
        </w:rPr>
        <w:t xml:space="preserve">. </w:t>
      </w:r>
      <w:r w:rsidR="009012BA" w:rsidRPr="00C32C72">
        <w:rPr>
          <w:sz w:val="24"/>
          <w:szCs w:val="24"/>
        </w:rPr>
        <w:t>Ignimbrites encompass a wide range of compositions, some of which appear to lie on a</w:t>
      </w:r>
      <w:r w:rsidR="00EE30F9" w:rsidRPr="00C32C72">
        <w:rPr>
          <w:sz w:val="24"/>
          <w:szCs w:val="24"/>
        </w:rPr>
        <w:t>n</w:t>
      </w:r>
      <w:r w:rsidR="009012BA" w:rsidRPr="00C32C72">
        <w:rPr>
          <w:sz w:val="24"/>
          <w:szCs w:val="24"/>
        </w:rPr>
        <w:t xml:space="preserve"> extension of the trend shown by the </w:t>
      </w:r>
      <w:proofErr w:type="spellStart"/>
      <w:r w:rsidR="009012BA" w:rsidRPr="00C32C72">
        <w:rPr>
          <w:sz w:val="24"/>
          <w:szCs w:val="24"/>
        </w:rPr>
        <w:t>Arcuentu</w:t>
      </w:r>
      <w:proofErr w:type="spellEnd"/>
      <w:r w:rsidR="009012BA" w:rsidRPr="00C32C72">
        <w:rPr>
          <w:sz w:val="24"/>
          <w:szCs w:val="24"/>
        </w:rPr>
        <w:t xml:space="preserve"> Complex. </w:t>
      </w:r>
      <w:r w:rsidR="00BB2E96" w:rsidRPr="00C32C72">
        <w:rPr>
          <w:sz w:val="24"/>
          <w:szCs w:val="24"/>
        </w:rPr>
        <w:t xml:space="preserve">However, </w:t>
      </w:r>
      <w:r w:rsidR="00753290" w:rsidRPr="00C32C72">
        <w:rPr>
          <w:sz w:val="24"/>
          <w:szCs w:val="24"/>
        </w:rPr>
        <w:t xml:space="preserve">CVZ </w:t>
      </w:r>
      <w:r w:rsidR="00BB2E96" w:rsidRPr="00C32C72">
        <w:rPr>
          <w:sz w:val="24"/>
          <w:szCs w:val="24"/>
        </w:rPr>
        <w:t xml:space="preserve">ignimbrites </w:t>
      </w:r>
      <w:r w:rsidR="009F7977" w:rsidRPr="00C32C72">
        <w:rPr>
          <w:sz w:val="24"/>
          <w:szCs w:val="24"/>
        </w:rPr>
        <w:t xml:space="preserve">have </w:t>
      </w:r>
      <w:bookmarkStart w:id="1" w:name="_GoBack"/>
      <w:bookmarkEnd w:id="1"/>
      <w:r w:rsidR="009F7977" w:rsidRPr="00C32C72">
        <w:rPr>
          <w:sz w:val="24"/>
          <w:szCs w:val="24"/>
        </w:rPr>
        <w:t xml:space="preserve">been described by </w:t>
      </w:r>
      <w:proofErr w:type="spellStart"/>
      <w:r w:rsidR="009F7977" w:rsidRPr="00C32C72">
        <w:rPr>
          <w:sz w:val="24"/>
          <w:szCs w:val="24"/>
        </w:rPr>
        <w:t>Freymuth</w:t>
      </w:r>
      <w:proofErr w:type="spellEnd"/>
      <w:r w:rsidR="009F7977" w:rsidRPr="00C32C72">
        <w:rPr>
          <w:sz w:val="24"/>
          <w:szCs w:val="24"/>
        </w:rPr>
        <w:t xml:space="preserve"> et al. (2015) </w:t>
      </w:r>
      <w:r w:rsidR="00BB2E96" w:rsidRPr="00C32C72">
        <w:rPr>
          <w:sz w:val="24"/>
          <w:szCs w:val="24"/>
        </w:rPr>
        <w:t xml:space="preserve">as falling into two groups: “low-volume” </w:t>
      </w:r>
      <w:r w:rsidR="00753290" w:rsidRPr="00C32C72">
        <w:rPr>
          <w:sz w:val="24"/>
          <w:szCs w:val="24"/>
        </w:rPr>
        <w:t xml:space="preserve">rhyolitic </w:t>
      </w:r>
      <w:r w:rsidR="00BB2E96" w:rsidRPr="00C32C72">
        <w:rPr>
          <w:sz w:val="24"/>
          <w:szCs w:val="24"/>
        </w:rPr>
        <w:t>ignimbrites</w:t>
      </w:r>
      <w:r w:rsidR="00884387" w:rsidRPr="00C32C72">
        <w:rPr>
          <w:sz w:val="24"/>
          <w:szCs w:val="24"/>
        </w:rPr>
        <w:t xml:space="preserve"> </w:t>
      </w:r>
      <w:r w:rsidR="009F7977" w:rsidRPr="00C32C72">
        <w:rPr>
          <w:sz w:val="24"/>
          <w:szCs w:val="24"/>
        </w:rPr>
        <w:t>that</w:t>
      </w:r>
      <w:r w:rsidR="00A60C25" w:rsidRPr="00C32C72">
        <w:rPr>
          <w:sz w:val="24"/>
          <w:szCs w:val="24"/>
        </w:rPr>
        <w:t xml:space="preserve"> are </w:t>
      </w:r>
      <w:r w:rsidR="009F7977" w:rsidRPr="00C32C72">
        <w:rPr>
          <w:sz w:val="24"/>
          <w:szCs w:val="24"/>
        </w:rPr>
        <w:t xml:space="preserve">typically less than </w:t>
      </w:r>
      <w:r w:rsidR="00A60C25" w:rsidRPr="00C32C72">
        <w:rPr>
          <w:sz w:val="24"/>
          <w:szCs w:val="24"/>
        </w:rPr>
        <w:t>a few hundred km</w:t>
      </w:r>
      <w:r w:rsidR="00A60C25" w:rsidRPr="00C32C72">
        <w:rPr>
          <w:sz w:val="24"/>
          <w:szCs w:val="24"/>
          <w:vertAlign w:val="superscript"/>
        </w:rPr>
        <w:t>3</w:t>
      </w:r>
      <w:r w:rsidR="00A60C25" w:rsidRPr="00C32C72">
        <w:rPr>
          <w:sz w:val="24"/>
          <w:szCs w:val="24"/>
        </w:rPr>
        <w:t xml:space="preserve"> </w:t>
      </w:r>
      <w:r w:rsidR="009F7977" w:rsidRPr="00C32C72">
        <w:rPr>
          <w:sz w:val="24"/>
          <w:szCs w:val="24"/>
        </w:rPr>
        <w:t>in size</w:t>
      </w:r>
      <w:r w:rsidR="00884387" w:rsidRPr="00C32C72">
        <w:rPr>
          <w:sz w:val="24"/>
          <w:szCs w:val="24"/>
        </w:rPr>
        <w:t xml:space="preserve"> and </w:t>
      </w:r>
      <w:r w:rsidR="00753290" w:rsidRPr="00C32C72">
        <w:rPr>
          <w:sz w:val="24"/>
          <w:szCs w:val="24"/>
        </w:rPr>
        <w:t xml:space="preserve">dacitic to rhyolitic </w:t>
      </w:r>
      <w:r w:rsidR="00884387" w:rsidRPr="00C32C72">
        <w:rPr>
          <w:sz w:val="24"/>
          <w:szCs w:val="24"/>
        </w:rPr>
        <w:t xml:space="preserve">“plateau” ignimbrites </w:t>
      </w:r>
      <w:r w:rsidR="009F7977" w:rsidRPr="00C32C72">
        <w:rPr>
          <w:sz w:val="24"/>
          <w:szCs w:val="24"/>
        </w:rPr>
        <w:t xml:space="preserve">that reach volumes </w:t>
      </w:r>
      <w:r w:rsidR="00884387" w:rsidRPr="00C32C72">
        <w:rPr>
          <w:sz w:val="24"/>
          <w:szCs w:val="24"/>
        </w:rPr>
        <w:t xml:space="preserve">up to </w:t>
      </w:r>
      <w:r w:rsidR="00BB2E96" w:rsidRPr="00C32C72">
        <w:rPr>
          <w:color w:val="000000" w:themeColor="text1"/>
          <w:sz w:val="24"/>
          <w:szCs w:val="24"/>
        </w:rPr>
        <w:t>several thousand km</w:t>
      </w:r>
      <w:r w:rsidR="00884387" w:rsidRPr="00C32C72">
        <w:rPr>
          <w:color w:val="000000" w:themeColor="text1"/>
          <w:sz w:val="24"/>
          <w:szCs w:val="24"/>
          <w:vertAlign w:val="superscript"/>
        </w:rPr>
        <w:t>3</w:t>
      </w:r>
      <w:r w:rsidR="009F7977" w:rsidRPr="00C32C72">
        <w:rPr>
          <w:color w:val="000000" w:themeColor="text1"/>
          <w:sz w:val="24"/>
          <w:szCs w:val="24"/>
        </w:rPr>
        <w:t>.</w:t>
      </w:r>
      <w:r w:rsidR="00884387" w:rsidRPr="00C32C72">
        <w:rPr>
          <w:color w:val="000000" w:themeColor="text1"/>
          <w:sz w:val="24"/>
          <w:szCs w:val="24"/>
        </w:rPr>
        <w:t xml:space="preserve"> </w:t>
      </w:r>
      <w:r w:rsidR="00F53537" w:rsidRPr="00C32C72">
        <w:rPr>
          <w:color w:val="000000" w:themeColor="text1"/>
          <w:sz w:val="24"/>
          <w:szCs w:val="24"/>
        </w:rPr>
        <w:t>In both cases, ignimbrite petrogenesis involves</w:t>
      </w:r>
      <w:r w:rsidR="004C33DB" w:rsidRPr="00C32C72">
        <w:rPr>
          <w:color w:val="000000" w:themeColor="text1"/>
          <w:sz w:val="24"/>
          <w:szCs w:val="24"/>
        </w:rPr>
        <w:t xml:space="preserve"> </w:t>
      </w:r>
      <w:r w:rsidR="00A60C25" w:rsidRPr="00C32C72">
        <w:rPr>
          <w:color w:val="000000" w:themeColor="text1"/>
          <w:sz w:val="24"/>
          <w:szCs w:val="24"/>
        </w:rPr>
        <w:t>residence time in the middle to upper crust</w:t>
      </w:r>
      <w:r w:rsidR="00277D18" w:rsidRPr="00C32C72">
        <w:rPr>
          <w:color w:val="000000" w:themeColor="text1"/>
          <w:sz w:val="24"/>
          <w:szCs w:val="24"/>
        </w:rPr>
        <w:t xml:space="preserve">, where significant </w:t>
      </w:r>
      <w:r w:rsidR="00A60C25" w:rsidRPr="00C32C72">
        <w:rPr>
          <w:color w:val="000000" w:themeColor="text1"/>
          <w:sz w:val="24"/>
          <w:szCs w:val="24"/>
        </w:rPr>
        <w:t xml:space="preserve">assimilation and fractional crystallization (AFC) </w:t>
      </w:r>
      <w:r w:rsidR="00277D18" w:rsidRPr="00C32C72">
        <w:rPr>
          <w:color w:val="000000" w:themeColor="text1"/>
          <w:sz w:val="24"/>
          <w:szCs w:val="24"/>
        </w:rPr>
        <w:t xml:space="preserve">occur </w:t>
      </w:r>
      <w:r w:rsidR="004C33DB" w:rsidRPr="00C32C72">
        <w:rPr>
          <w:color w:val="000000" w:themeColor="text1"/>
          <w:sz w:val="24"/>
          <w:szCs w:val="24"/>
        </w:rPr>
        <w:t xml:space="preserve">(de Silva 1989; </w:t>
      </w:r>
      <w:r w:rsidR="001173B1" w:rsidRPr="00C32C72">
        <w:rPr>
          <w:color w:val="000000" w:themeColor="text1"/>
          <w:sz w:val="24"/>
          <w:szCs w:val="24"/>
        </w:rPr>
        <w:t xml:space="preserve">Lindsay et al., 2001; </w:t>
      </w:r>
      <w:r w:rsidR="004C33DB" w:rsidRPr="00C32C72">
        <w:rPr>
          <w:color w:val="000000" w:themeColor="text1"/>
          <w:sz w:val="24"/>
          <w:szCs w:val="24"/>
        </w:rPr>
        <w:t>Kay et al., 2010</w:t>
      </w:r>
      <w:r w:rsidR="00A60C25" w:rsidRPr="00C32C72">
        <w:rPr>
          <w:color w:val="000000" w:themeColor="text1"/>
          <w:sz w:val="24"/>
          <w:szCs w:val="24"/>
        </w:rPr>
        <w:t xml:space="preserve">; </w:t>
      </w:r>
      <w:proofErr w:type="spellStart"/>
      <w:r w:rsidR="00A60C25" w:rsidRPr="00C32C72">
        <w:rPr>
          <w:color w:val="000000" w:themeColor="text1"/>
          <w:sz w:val="24"/>
          <w:szCs w:val="24"/>
        </w:rPr>
        <w:t>Freymuth</w:t>
      </w:r>
      <w:proofErr w:type="spellEnd"/>
      <w:r w:rsidR="00A60C25" w:rsidRPr="00C32C72">
        <w:rPr>
          <w:color w:val="000000" w:themeColor="text1"/>
          <w:sz w:val="24"/>
          <w:szCs w:val="24"/>
        </w:rPr>
        <w:t xml:space="preserve"> et al. 2015</w:t>
      </w:r>
      <w:r w:rsidR="004C33DB" w:rsidRPr="00C32C72">
        <w:rPr>
          <w:color w:val="000000" w:themeColor="text1"/>
          <w:sz w:val="24"/>
          <w:szCs w:val="24"/>
        </w:rPr>
        <w:t xml:space="preserve">). </w:t>
      </w:r>
      <w:r w:rsidR="00884387" w:rsidRPr="00C32C72">
        <w:rPr>
          <w:color w:val="000000" w:themeColor="text1"/>
          <w:sz w:val="24"/>
          <w:szCs w:val="24"/>
        </w:rPr>
        <w:t xml:space="preserve">Low-volume ignimbrites </w:t>
      </w:r>
      <w:r w:rsidR="00F53537" w:rsidRPr="00C32C72">
        <w:rPr>
          <w:color w:val="000000" w:themeColor="text1"/>
          <w:sz w:val="24"/>
          <w:szCs w:val="24"/>
        </w:rPr>
        <w:t xml:space="preserve">tend to </w:t>
      </w:r>
      <w:r w:rsidR="00884387" w:rsidRPr="00C32C72">
        <w:rPr>
          <w:color w:val="000000" w:themeColor="text1"/>
          <w:sz w:val="24"/>
          <w:szCs w:val="24"/>
        </w:rPr>
        <w:t>o</w:t>
      </w:r>
      <w:r w:rsidR="0014644A" w:rsidRPr="00C32C72">
        <w:rPr>
          <w:color w:val="000000" w:themeColor="text1"/>
          <w:sz w:val="24"/>
          <w:szCs w:val="24"/>
        </w:rPr>
        <w:t xml:space="preserve">verlap </w:t>
      </w:r>
      <w:r w:rsidR="00884387" w:rsidRPr="00C32C72">
        <w:rPr>
          <w:color w:val="000000" w:themeColor="text1"/>
          <w:sz w:val="24"/>
          <w:szCs w:val="24"/>
        </w:rPr>
        <w:t xml:space="preserve">the </w:t>
      </w:r>
      <w:r w:rsidR="0014644A" w:rsidRPr="00C32C72">
        <w:rPr>
          <w:color w:val="000000" w:themeColor="text1"/>
          <w:sz w:val="24"/>
          <w:szCs w:val="24"/>
        </w:rPr>
        <w:t>composition</w:t>
      </w:r>
      <w:r w:rsidR="00884387" w:rsidRPr="00C32C72">
        <w:rPr>
          <w:color w:val="000000" w:themeColor="text1"/>
          <w:sz w:val="24"/>
          <w:szCs w:val="24"/>
        </w:rPr>
        <w:t>s</w:t>
      </w:r>
      <w:r w:rsidR="0014644A" w:rsidRPr="00C32C72">
        <w:rPr>
          <w:color w:val="000000" w:themeColor="text1"/>
          <w:sz w:val="24"/>
          <w:szCs w:val="24"/>
        </w:rPr>
        <w:t xml:space="preserve"> </w:t>
      </w:r>
      <w:r w:rsidR="00884387" w:rsidRPr="00C32C72">
        <w:rPr>
          <w:color w:val="000000" w:themeColor="text1"/>
          <w:sz w:val="24"/>
          <w:szCs w:val="24"/>
        </w:rPr>
        <w:t xml:space="preserve">of </w:t>
      </w:r>
      <w:r w:rsidR="0014644A" w:rsidRPr="00C32C72">
        <w:rPr>
          <w:color w:val="000000" w:themeColor="text1"/>
          <w:sz w:val="24"/>
          <w:szCs w:val="24"/>
        </w:rPr>
        <w:t>strato</w:t>
      </w:r>
      <w:r w:rsidR="00884387" w:rsidRPr="00C32C72">
        <w:rPr>
          <w:color w:val="000000" w:themeColor="text1"/>
          <w:sz w:val="24"/>
          <w:szCs w:val="24"/>
        </w:rPr>
        <w:t>volcanoes from the arc front</w:t>
      </w:r>
      <w:r w:rsidR="00C878B2" w:rsidRPr="00C32C72">
        <w:rPr>
          <w:color w:val="000000" w:themeColor="text1"/>
          <w:sz w:val="24"/>
          <w:szCs w:val="24"/>
        </w:rPr>
        <w:t xml:space="preserve"> (Fig. S3C)</w:t>
      </w:r>
      <w:r w:rsidR="00884387" w:rsidRPr="00C32C72">
        <w:rPr>
          <w:color w:val="000000" w:themeColor="text1"/>
          <w:sz w:val="24"/>
          <w:szCs w:val="24"/>
        </w:rPr>
        <w:t xml:space="preserve">, suggesting </w:t>
      </w:r>
      <w:r w:rsidR="00FE0FF6" w:rsidRPr="00C32C72">
        <w:rPr>
          <w:color w:val="000000" w:themeColor="text1"/>
          <w:sz w:val="24"/>
          <w:szCs w:val="24"/>
        </w:rPr>
        <w:t xml:space="preserve">a </w:t>
      </w:r>
      <w:r w:rsidR="00A60C25" w:rsidRPr="00C32C72">
        <w:rPr>
          <w:color w:val="000000" w:themeColor="text1"/>
          <w:sz w:val="24"/>
          <w:szCs w:val="24"/>
        </w:rPr>
        <w:t xml:space="preserve">similar mass balance of crustal and mantle components </w:t>
      </w:r>
      <w:r w:rsidR="009F7977" w:rsidRPr="00C32C72">
        <w:rPr>
          <w:color w:val="000000" w:themeColor="text1"/>
          <w:sz w:val="24"/>
          <w:szCs w:val="24"/>
        </w:rPr>
        <w:t>(</w:t>
      </w:r>
      <w:proofErr w:type="spellStart"/>
      <w:r w:rsidR="009F7977" w:rsidRPr="00C32C72">
        <w:rPr>
          <w:color w:val="000000" w:themeColor="text1"/>
          <w:sz w:val="24"/>
          <w:szCs w:val="24"/>
        </w:rPr>
        <w:t>Freymuth</w:t>
      </w:r>
      <w:proofErr w:type="spellEnd"/>
      <w:r w:rsidR="009F7977" w:rsidRPr="00C32C72">
        <w:rPr>
          <w:color w:val="000000" w:themeColor="text1"/>
          <w:sz w:val="24"/>
          <w:szCs w:val="24"/>
        </w:rPr>
        <w:t xml:space="preserve"> et al., 2015)</w:t>
      </w:r>
      <w:r w:rsidR="00C878B2" w:rsidRPr="00C32C72">
        <w:rPr>
          <w:color w:val="000000" w:themeColor="text1"/>
          <w:sz w:val="24"/>
          <w:szCs w:val="24"/>
        </w:rPr>
        <w:t>. P</w:t>
      </w:r>
      <w:r w:rsidR="00646BCD" w:rsidRPr="00C32C72">
        <w:rPr>
          <w:color w:val="000000" w:themeColor="text1"/>
          <w:sz w:val="24"/>
          <w:szCs w:val="24"/>
        </w:rPr>
        <w:t>latea</w:t>
      </w:r>
      <w:r w:rsidR="00BB2E96" w:rsidRPr="00C32C72">
        <w:rPr>
          <w:color w:val="000000" w:themeColor="text1"/>
          <w:sz w:val="24"/>
          <w:szCs w:val="24"/>
        </w:rPr>
        <w:t xml:space="preserve">u </w:t>
      </w:r>
      <w:r w:rsidR="00646BCD" w:rsidRPr="00C32C72">
        <w:rPr>
          <w:color w:val="000000" w:themeColor="text1"/>
          <w:sz w:val="24"/>
          <w:szCs w:val="24"/>
        </w:rPr>
        <w:t>ignimbrites</w:t>
      </w:r>
      <w:r w:rsidR="00B700A7" w:rsidRPr="00C32C72">
        <w:rPr>
          <w:color w:val="000000" w:themeColor="text1"/>
          <w:sz w:val="24"/>
          <w:szCs w:val="24"/>
        </w:rPr>
        <w:t xml:space="preserve"> </w:t>
      </w:r>
      <w:r w:rsidR="00BB2E96" w:rsidRPr="00C32C72">
        <w:rPr>
          <w:color w:val="000000" w:themeColor="text1"/>
          <w:sz w:val="24"/>
          <w:szCs w:val="24"/>
        </w:rPr>
        <w:t xml:space="preserve">are </w:t>
      </w:r>
      <w:r w:rsidR="009F7977" w:rsidRPr="00C32C72">
        <w:rPr>
          <w:color w:val="000000" w:themeColor="text1"/>
          <w:sz w:val="24"/>
          <w:szCs w:val="24"/>
        </w:rPr>
        <w:t xml:space="preserve">compositionally </w:t>
      </w:r>
      <w:r w:rsidR="00BB2E96" w:rsidRPr="00C32C72">
        <w:rPr>
          <w:color w:val="000000" w:themeColor="text1"/>
          <w:sz w:val="24"/>
          <w:szCs w:val="24"/>
        </w:rPr>
        <w:t xml:space="preserve">more variable, </w:t>
      </w:r>
      <w:r w:rsidR="009F7977" w:rsidRPr="00C32C72">
        <w:rPr>
          <w:color w:val="000000" w:themeColor="text1"/>
          <w:sz w:val="24"/>
          <w:szCs w:val="24"/>
        </w:rPr>
        <w:t xml:space="preserve">with </w:t>
      </w:r>
      <w:r w:rsidR="009F7977" w:rsidRPr="00C32C72">
        <w:rPr>
          <w:color w:val="000000" w:themeColor="text1"/>
          <w:sz w:val="24"/>
          <w:szCs w:val="24"/>
          <w:vertAlign w:val="superscript"/>
        </w:rPr>
        <w:t>87</w:t>
      </w:r>
      <w:r w:rsidR="009F7977" w:rsidRPr="00C32C72">
        <w:rPr>
          <w:color w:val="000000" w:themeColor="text1"/>
          <w:sz w:val="24"/>
          <w:szCs w:val="24"/>
        </w:rPr>
        <w:t>Sr/</w:t>
      </w:r>
      <w:r w:rsidR="009F7977" w:rsidRPr="00C32C72">
        <w:rPr>
          <w:color w:val="000000" w:themeColor="text1"/>
          <w:sz w:val="24"/>
          <w:szCs w:val="24"/>
          <w:vertAlign w:val="superscript"/>
        </w:rPr>
        <w:t>86</w:t>
      </w:r>
      <w:r w:rsidR="009F7977" w:rsidRPr="00C32C72">
        <w:rPr>
          <w:color w:val="000000" w:themeColor="text1"/>
          <w:sz w:val="24"/>
          <w:szCs w:val="24"/>
        </w:rPr>
        <w:t xml:space="preserve">Sr </w:t>
      </w:r>
      <w:r w:rsidR="00BB2E96" w:rsidRPr="00C32C72">
        <w:rPr>
          <w:color w:val="000000" w:themeColor="text1"/>
          <w:sz w:val="24"/>
          <w:szCs w:val="24"/>
        </w:rPr>
        <w:t xml:space="preserve">values </w:t>
      </w:r>
      <w:r w:rsidR="00646BCD" w:rsidRPr="00C32C72">
        <w:rPr>
          <w:color w:val="000000" w:themeColor="text1"/>
          <w:sz w:val="24"/>
          <w:szCs w:val="24"/>
        </w:rPr>
        <w:t>up to 0.719</w:t>
      </w:r>
      <w:r w:rsidR="00753290" w:rsidRPr="00C32C72">
        <w:rPr>
          <w:color w:val="000000" w:themeColor="text1"/>
          <w:sz w:val="24"/>
          <w:szCs w:val="24"/>
        </w:rPr>
        <w:t xml:space="preserve"> (Fig. S3C)</w:t>
      </w:r>
      <w:r w:rsidR="00FE0FF6" w:rsidRPr="00C32C72">
        <w:rPr>
          <w:color w:val="000000" w:themeColor="text1"/>
          <w:sz w:val="24"/>
          <w:szCs w:val="24"/>
        </w:rPr>
        <w:t xml:space="preserve">. These radiogenic Sr-isotope values have </w:t>
      </w:r>
      <w:r w:rsidR="00753290" w:rsidRPr="00C32C72">
        <w:rPr>
          <w:color w:val="000000" w:themeColor="text1"/>
          <w:sz w:val="24"/>
          <w:szCs w:val="24"/>
        </w:rPr>
        <w:t xml:space="preserve">been ascribed to </w:t>
      </w:r>
      <w:r w:rsidR="00F53537" w:rsidRPr="00C32C72">
        <w:rPr>
          <w:color w:val="000000" w:themeColor="text1"/>
          <w:sz w:val="24"/>
          <w:szCs w:val="24"/>
        </w:rPr>
        <w:t xml:space="preserve">addition of </w:t>
      </w:r>
      <w:r w:rsidR="00517F44" w:rsidRPr="00C32C72">
        <w:rPr>
          <w:color w:val="000000" w:themeColor="text1"/>
          <w:sz w:val="24"/>
          <w:szCs w:val="24"/>
        </w:rPr>
        <w:t xml:space="preserve">significant amounts of </w:t>
      </w:r>
      <w:r w:rsidR="00A60C25" w:rsidRPr="00C32C72">
        <w:rPr>
          <w:color w:val="000000" w:themeColor="text1"/>
          <w:sz w:val="24"/>
          <w:szCs w:val="24"/>
        </w:rPr>
        <w:t>middle</w:t>
      </w:r>
      <w:r w:rsidR="00FE0FF6" w:rsidRPr="00C32C72">
        <w:rPr>
          <w:color w:val="000000" w:themeColor="text1"/>
          <w:sz w:val="24"/>
          <w:szCs w:val="24"/>
        </w:rPr>
        <w:t xml:space="preserve"> to </w:t>
      </w:r>
      <w:r w:rsidR="00A60C25" w:rsidRPr="00C32C72">
        <w:rPr>
          <w:color w:val="000000" w:themeColor="text1"/>
          <w:sz w:val="24"/>
          <w:szCs w:val="24"/>
        </w:rPr>
        <w:t>upper crust</w:t>
      </w:r>
      <w:r w:rsidR="00FE0FF6" w:rsidRPr="00C32C72">
        <w:rPr>
          <w:color w:val="000000" w:themeColor="text1"/>
          <w:sz w:val="24"/>
          <w:szCs w:val="24"/>
        </w:rPr>
        <w:t>; m</w:t>
      </w:r>
      <w:r w:rsidR="00277D18" w:rsidRPr="00C32C72">
        <w:rPr>
          <w:color w:val="000000" w:themeColor="text1"/>
          <w:sz w:val="24"/>
          <w:szCs w:val="24"/>
        </w:rPr>
        <w:t>odel e</w:t>
      </w:r>
      <w:r w:rsidR="00753290" w:rsidRPr="00C32C72">
        <w:rPr>
          <w:color w:val="000000" w:themeColor="text1"/>
          <w:sz w:val="24"/>
          <w:szCs w:val="24"/>
        </w:rPr>
        <w:t>stimates rang</w:t>
      </w:r>
      <w:r w:rsidR="00277D18" w:rsidRPr="00C32C72">
        <w:rPr>
          <w:color w:val="000000" w:themeColor="text1"/>
          <w:sz w:val="24"/>
          <w:szCs w:val="24"/>
        </w:rPr>
        <w:t xml:space="preserve">e </w:t>
      </w:r>
      <w:r w:rsidR="00753290" w:rsidRPr="00C32C72">
        <w:rPr>
          <w:color w:val="000000" w:themeColor="text1"/>
          <w:sz w:val="24"/>
          <w:szCs w:val="24"/>
        </w:rPr>
        <w:t xml:space="preserve">from 20% </w:t>
      </w:r>
      <w:r w:rsidR="00277D18" w:rsidRPr="00C32C72">
        <w:rPr>
          <w:color w:val="000000" w:themeColor="text1"/>
          <w:sz w:val="24"/>
          <w:szCs w:val="24"/>
        </w:rPr>
        <w:t xml:space="preserve">to </w:t>
      </w:r>
      <w:r w:rsidR="001173B1" w:rsidRPr="00C32C72">
        <w:rPr>
          <w:color w:val="000000" w:themeColor="text1"/>
          <w:sz w:val="24"/>
          <w:szCs w:val="24"/>
        </w:rPr>
        <w:t>7</w:t>
      </w:r>
      <w:r w:rsidR="00753290" w:rsidRPr="00C32C72">
        <w:rPr>
          <w:color w:val="000000" w:themeColor="text1"/>
          <w:sz w:val="24"/>
          <w:szCs w:val="24"/>
        </w:rPr>
        <w:t>0%</w:t>
      </w:r>
      <w:r w:rsidR="00FE0FF6" w:rsidRPr="00C32C72">
        <w:rPr>
          <w:color w:val="000000" w:themeColor="text1"/>
          <w:sz w:val="24"/>
          <w:szCs w:val="24"/>
        </w:rPr>
        <w:t xml:space="preserve"> crustal contribution to the melt</w:t>
      </w:r>
      <w:r w:rsidR="00753290" w:rsidRPr="00C32C72">
        <w:rPr>
          <w:color w:val="000000" w:themeColor="text1"/>
          <w:sz w:val="24"/>
          <w:szCs w:val="24"/>
        </w:rPr>
        <w:t xml:space="preserve">, depending on the </w:t>
      </w:r>
      <w:r w:rsidR="001173B1" w:rsidRPr="00C32C72">
        <w:rPr>
          <w:color w:val="000000" w:themeColor="text1"/>
          <w:sz w:val="24"/>
          <w:szCs w:val="24"/>
        </w:rPr>
        <w:t>selection of</w:t>
      </w:r>
      <w:r w:rsidR="00753290" w:rsidRPr="00C32C72">
        <w:rPr>
          <w:color w:val="000000" w:themeColor="text1"/>
          <w:sz w:val="24"/>
          <w:szCs w:val="24"/>
        </w:rPr>
        <w:t xml:space="preserve"> parental magma and crustal contaminant</w:t>
      </w:r>
      <w:r w:rsidR="001173B1" w:rsidRPr="00C32C72">
        <w:rPr>
          <w:color w:val="000000" w:themeColor="text1"/>
          <w:sz w:val="24"/>
          <w:szCs w:val="24"/>
        </w:rPr>
        <w:t xml:space="preserve"> end members </w:t>
      </w:r>
      <w:r w:rsidR="00753290" w:rsidRPr="00C32C72">
        <w:rPr>
          <w:color w:val="000000" w:themeColor="text1"/>
          <w:sz w:val="24"/>
          <w:szCs w:val="24"/>
        </w:rPr>
        <w:t>(</w:t>
      </w:r>
      <w:r w:rsidR="00C878B2" w:rsidRPr="00C32C72">
        <w:rPr>
          <w:color w:val="000000" w:themeColor="text1"/>
          <w:sz w:val="24"/>
          <w:szCs w:val="24"/>
        </w:rPr>
        <w:t>Kay et al.</w:t>
      </w:r>
      <w:r w:rsidR="00753290" w:rsidRPr="00C32C72">
        <w:rPr>
          <w:color w:val="000000" w:themeColor="text1"/>
          <w:sz w:val="24"/>
          <w:szCs w:val="24"/>
        </w:rPr>
        <w:t xml:space="preserve">, </w:t>
      </w:r>
      <w:r w:rsidR="00C878B2" w:rsidRPr="00C32C72">
        <w:rPr>
          <w:color w:val="000000" w:themeColor="text1"/>
          <w:sz w:val="24"/>
          <w:szCs w:val="24"/>
        </w:rPr>
        <w:t>2010</w:t>
      </w:r>
      <w:r w:rsidR="00753290" w:rsidRPr="00C32C72">
        <w:rPr>
          <w:color w:val="000000" w:themeColor="text1"/>
          <w:sz w:val="24"/>
          <w:szCs w:val="24"/>
        </w:rPr>
        <w:t xml:space="preserve">; </w:t>
      </w:r>
      <w:proofErr w:type="spellStart"/>
      <w:r w:rsidR="00753290" w:rsidRPr="00C32C72">
        <w:rPr>
          <w:color w:val="000000" w:themeColor="text1"/>
          <w:sz w:val="24"/>
          <w:szCs w:val="24"/>
        </w:rPr>
        <w:t>Freymuth</w:t>
      </w:r>
      <w:proofErr w:type="spellEnd"/>
      <w:r w:rsidR="00753290" w:rsidRPr="00C32C72">
        <w:rPr>
          <w:color w:val="000000" w:themeColor="text1"/>
          <w:sz w:val="24"/>
          <w:szCs w:val="24"/>
        </w:rPr>
        <w:t xml:space="preserve"> et al., 2015). </w:t>
      </w:r>
      <w:r w:rsidR="001173B1" w:rsidRPr="00C32C72">
        <w:rPr>
          <w:color w:val="000000" w:themeColor="text1"/>
          <w:sz w:val="24"/>
          <w:szCs w:val="24"/>
        </w:rPr>
        <w:t>With such large crustal contributions to the melt, much of t</w:t>
      </w:r>
      <w:r w:rsidR="00D05ED7" w:rsidRPr="00C32C72">
        <w:rPr>
          <w:color w:val="000000" w:themeColor="text1"/>
          <w:sz w:val="24"/>
          <w:szCs w:val="24"/>
        </w:rPr>
        <w:t xml:space="preserve">he isotopic variability </w:t>
      </w:r>
      <w:r w:rsidR="00F13604">
        <w:rPr>
          <w:color w:val="000000" w:themeColor="text1"/>
          <w:sz w:val="24"/>
          <w:szCs w:val="24"/>
        </w:rPr>
        <w:t xml:space="preserve">shown by </w:t>
      </w:r>
      <w:r w:rsidR="00D05ED7" w:rsidRPr="00C32C72">
        <w:rPr>
          <w:color w:val="000000" w:themeColor="text1"/>
          <w:sz w:val="24"/>
          <w:szCs w:val="24"/>
        </w:rPr>
        <w:t>p</w:t>
      </w:r>
      <w:r w:rsidR="00FE0FF6" w:rsidRPr="00C32C72">
        <w:rPr>
          <w:color w:val="000000" w:themeColor="text1"/>
          <w:sz w:val="24"/>
          <w:szCs w:val="24"/>
        </w:rPr>
        <w:t>lateau ignimbrites</w:t>
      </w:r>
      <w:r w:rsidR="001173B1" w:rsidRPr="00C32C72">
        <w:rPr>
          <w:color w:val="000000" w:themeColor="text1"/>
          <w:sz w:val="24"/>
          <w:szCs w:val="24"/>
        </w:rPr>
        <w:t xml:space="preserve"> </w:t>
      </w:r>
      <w:proofErr w:type="gramStart"/>
      <w:r w:rsidR="001173B1" w:rsidRPr="00C32C72">
        <w:rPr>
          <w:color w:val="000000" w:themeColor="text1"/>
          <w:sz w:val="24"/>
          <w:szCs w:val="24"/>
        </w:rPr>
        <w:t>is a reflection o</w:t>
      </w:r>
      <w:r w:rsidR="00F13604">
        <w:rPr>
          <w:color w:val="000000" w:themeColor="text1"/>
          <w:sz w:val="24"/>
          <w:szCs w:val="24"/>
        </w:rPr>
        <w:t>f</w:t>
      </w:r>
      <w:proofErr w:type="gramEnd"/>
      <w:r w:rsidR="001173B1" w:rsidRPr="00C32C72">
        <w:rPr>
          <w:color w:val="000000" w:themeColor="text1"/>
          <w:sz w:val="24"/>
          <w:szCs w:val="24"/>
        </w:rPr>
        <w:t xml:space="preserve"> </w:t>
      </w:r>
      <w:r w:rsidR="00FE0FF6" w:rsidRPr="00C32C72">
        <w:rPr>
          <w:color w:val="000000" w:themeColor="text1"/>
          <w:sz w:val="24"/>
          <w:szCs w:val="24"/>
        </w:rPr>
        <w:t xml:space="preserve">regional differences in </w:t>
      </w:r>
      <w:r w:rsidR="00D05ED7" w:rsidRPr="00C32C72">
        <w:rPr>
          <w:color w:val="000000" w:themeColor="text1"/>
          <w:sz w:val="24"/>
          <w:szCs w:val="24"/>
        </w:rPr>
        <w:t>middle/upper crust composition</w:t>
      </w:r>
      <w:r w:rsidR="00FE0FF6" w:rsidRPr="00C32C72">
        <w:rPr>
          <w:color w:val="000000" w:themeColor="text1"/>
          <w:sz w:val="24"/>
          <w:szCs w:val="24"/>
        </w:rPr>
        <w:t xml:space="preserve">. </w:t>
      </w:r>
      <w:r w:rsidR="00277D18" w:rsidRPr="00C32C72">
        <w:rPr>
          <w:color w:val="000000" w:themeColor="text1"/>
          <w:sz w:val="24"/>
          <w:szCs w:val="24"/>
        </w:rPr>
        <w:t>While a role for assimilation in the deep crust is</w:t>
      </w:r>
      <w:r w:rsidR="003C254D" w:rsidRPr="00C32C72">
        <w:rPr>
          <w:color w:val="000000" w:themeColor="text1"/>
          <w:sz w:val="24"/>
          <w:szCs w:val="24"/>
        </w:rPr>
        <w:t xml:space="preserve"> often</w:t>
      </w:r>
      <w:r w:rsidR="00277D18" w:rsidRPr="00C32C72">
        <w:rPr>
          <w:color w:val="000000" w:themeColor="text1"/>
          <w:sz w:val="24"/>
          <w:szCs w:val="24"/>
        </w:rPr>
        <w:t xml:space="preserve"> inferred</w:t>
      </w:r>
      <w:r w:rsidR="00F13604">
        <w:rPr>
          <w:color w:val="000000" w:themeColor="text1"/>
          <w:sz w:val="24"/>
          <w:szCs w:val="24"/>
        </w:rPr>
        <w:t>,</w:t>
      </w:r>
      <w:r w:rsidR="00D05ED7" w:rsidRPr="00C32C72">
        <w:rPr>
          <w:color w:val="000000" w:themeColor="text1"/>
          <w:sz w:val="24"/>
          <w:szCs w:val="24"/>
        </w:rPr>
        <w:t xml:space="preserve"> based on steep heavy REE patterns that require a garnet residue</w:t>
      </w:r>
      <w:r w:rsidR="003C254D" w:rsidRPr="00C32C72">
        <w:rPr>
          <w:color w:val="000000" w:themeColor="text1"/>
          <w:sz w:val="24"/>
          <w:szCs w:val="24"/>
        </w:rPr>
        <w:t xml:space="preserve">, </w:t>
      </w:r>
      <w:r w:rsidR="00CB03BE" w:rsidRPr="00C32C72">
        <w:rPr>
          <w:color w:val="000000" w:themeColor="text1"/>
          <w:sz w:val="24"/>
          <w:szCs w:val="24"/>
        </w:rPr>
        <w:t xml:space="preserve">it is generally </w:t>
      </w:r>
      <w:r w:rsidR="00D05ED7" w:rsidRPr="00C32C72">
        <w:rPr>
          <w:color w:val="000000" w:themeColor="text1"/>
          <w:sz w:val="24"/>
          <w:szCs w:val="24"/>
        </w:rPr>
        <w:t xml:space="preserve">acknowledged </w:t>
      </w:r>
      <w:r w:rsidR="00CB03BE" w:rsidRPr="00C32C72">
        <w:rPr>
          <w:color w:val="000000" w:themeColor="text1"/>
          <w:sz w:val="24"/>
          <w:szCs w:val="24"/>
        </w:rPr>
        <w:t xml:space="preserve">that </w:t>
      </w:r>
      <w:r w:rsidR="00D05ED7" w:rsidRPr="00C32C72">
        <w:rPr>
          <w:color w:val="000000" w:themeColor="text1"/>
          <w:sz w:val="24"/>
          <w:szCs w:val="24"/>
        </w:rPr>
        <w:t xml:space="preserve">middle/upper crustal AFC processes </w:t>
      </w:r>
      <w:r w:rsidR="00CB03BE" w:rsidRPr="00C32C72">
        <w:rPr>
          <w:color w:val="000000" w:themeColor="text1"/>
          <w:sz w:val="24"/>
          <w:szCs w:val="24"/>
        </w:rPr>
        <w:t xml:space="preserve">largely obscure </w:t>
      </w:r>
      <w:r w:rsidR="00D05ED7" w:rsidRPr="00C32C72">
        <w:rPr>
          <w:color w:val="000000" w:themeColor="text1"/>
          <w:sz w:val="24"/>
          <w:szCs w:val="24"/>
        </w:rPr>
        <w:t xml:space="preserve">the earlier stages of magma evolution </w:t>
      </w:r>
      <w:r w:rsidR="00CB03BE" w:rsidRPr="00C32C72">
        <w:rPr>
          <w:color w:val="000000" w:themeColor="text1"/>
          <w:sz w:val="24"/>
          <w:szCs w:val="24"/>
        </w:rPr>
        <w:t>(Kay et al., 2010). Furthermore,</w:t>
      </w:r>
      <w:r w:rsidR="00C878B2" w:rsidRPr="00C32C72">
        <w:rPr>
          <w:color w:val="000000" w:themeColor="text1"/>
          <w:sz w:val="24"/>
          <w:szCs w:val="24"/>
        </w:rPr>
        <w:t xml:space="preserve"> </w:t>
      </w:r>
      <w:r w:rsidR="00B700A7" w:rsidRPr="00C32C72">
        <w:rPr>
          <w:color w:val="000000" w:themeColor="text1"/>
          <w:sz w:val="24"/>
          <w:szCs w:val="24"/>
        </w:rPr>
        <w:t xml:space="preserve">as reported by </w:t>
      </w:r>
      <w:r w:rsidR="00271B1C" w:rsidRPr="00C32C72">
        <w:rPr>
          <w:color w:val="000000" w:themeColor="text1"/>
          <w:sz w:val="24"/>
          <w:szCs w:val="24"/>
        </w:rPr>
        <w:t>Kay et al. (2010)</w:t>
      </w:r>
      <w:r w:rsidR="00CB03BE" w:rsidRPr="00C32C72">
        <w:rPr>
          <w:color w:val="000000" w:themeColor="text1"/>
          <w:sz w:val="24"/>
          <w:szCs w:val="24"/>
        </w:rPr>
        <w:t xml:space="preserve">, </w:t>
      </w:r>
      <w:r w:rsidR="00B700A7" w:rsidRPr="00C32C72">
        <w:rPr>
          <w:color w:val="000000" w:themeColor="text1"/>
          <w:sz w:val="24"/>
          <w:szCs w:val="24"/>
        </w:rPr>
        <w:t>“A</w:t>
      </w:r>
      <w:r w:rsidR="00C878B2" w:rsidRPr="00C32C72">
        <w:rPr>
          <w:color w:val="000000" w:themeColor="text1"/>
          <w:sz w:val="24"/>
          <w:szCs w:val="24"/>
        </w:rPr>
        <w:t xml:space="preserve"> commonly made and key observation is that </w:t>
      </w:r>
      <w:r w:rsidR="00277D18" w:rsidRPr="00C32C72">
        <w:rPr>
          <w:color w:val="000000" w:themeColor="text1"/>
          <w:sz w:val="24"/>
          <w:szCs w:val="24"/>
        </w:rPr>
        <w:t>[ignimbrite]</w:t>
      </w:r>
      <w:r w:rsidR="00B700A7" w:rsidRPr="00C32C72">
        <w:rPr>
          <w:color w:val="000000" w:themeColor="text1"/>
          <w:sz w:val="24"/>
          <w:szCs w:val="24"/>
        </w:rPr>
        <w:t xml:space="preserve"> </w:t>
      </w:r>
      <w:r w:rsidR="00C878B2" w:rsidRPr="00C32C72">
        <w:rPr>
          <w:color w:val="000000" w:themeColor="text1"/>
          <w:sz w:val="24"/>
          <w:szCs w:val="24"/>
          <w:vertAlign w:val="superscript"/>
        </w:rPr>
        <w:t>87</w:t>
      </w:r>
      <w:r w:rsidR="00C878B2" w:rsidRPr="00C32C72">
        <w:rPr>
          <w:color w:val="000000" w:themeColor="text1"/>
          <w:sz w:val="24"/>
          <w:szCs w:val="24"/>
        </w:rPr>
        <w:t>Sr/</w:t>
      </w:r>
      <w:r w:rsidR="00C878B2" w:rsidRPr="00C32C72">
        <w:rPr>
          <w:color w:val="000000" w:themeColor="text1"/>
          <w:sz w:val="24"/>
          <w:szCs w:val="24"/>
          <w:vertAlign w:val="superscript"/>
        </w:rPr>
        <w:t>86</w:t>
      </w:r>
      <w:r w:rsidR="00C878B2" w:rsidRPr="00C32C72">
        <w:rPr>
          <w:color w:val="000000" w:themeColor="text1"/>
          <w:sz w:val="24"/>
          <w:szCs w:val="24"/>
        </w:rPr>
        <w:t xml:space="preserve">Sr ratios </w:t>
      </w:r>
      <w:r w:rsidR="00B700A7" w:rsidRPr="00C32C72">
        <w:rPr>
          <w:color w:val="000000" w:themeColor="text1"/>
          <w:sz w:val="24"/>
          <w:szCs w:val="24"/>
        </w:rPr>
        <w:t xml:space="preserve">are </w:t>
      </w:r>
      <w:r w:rsidR="00C878B2" w:rsidRPr="00C32C72">
        <w:rPr>
          <w:color w:val="000000" w:themeColor="text1"/>
          <w:sz w:val="24"/>
          <w:szCs w:val="24"/>
        </w:rPr>
        <w:t>highly variable at the same SiO</w:t>
      </w:r>
      <w:r w:rsidR="00C878B2" w:rsidRPr="00C32C72">
        <w:rPr>
          <w:color w:val="000000" w:themeColor="text1"/>
          <w:sz w:val="24"/>
          <w:szCs w:val="24"/>
          <w:vertAlign w:val="subscript"/>
        </w:rPr>
        <w:t>2</w:t>
      </w:r>
      <w:r w:rsidR="00C878B2" w:rsidRPr="00C32C72">
        <w:rPr>
          <w:color w:val="000000" w:themeColor="text1"/>
          <w:sz w:val="24"/>
          <w:szCs w:val="24"/>
        </w:rPr>
        <w:t xml:space="preserve"> content in rocks from different </w:t>
      </w:r>
      <w:proofErr w:type="spellStart"/>
      <w:r w:rsidR="00B700A7" w:rsidRPr="00C32C72">
        <w:rPr>
          <w:color w:val="000000" w:themeColor="text1"/>
          <w:sz w:val="24"/>
          <w:szCs w:val="24"/>
        </w:rPr>
        <w:t>Puna</w:t>
      </w:r>
      <w:proofErr w:type="spellEnd"/>
      <w:r w:rsidR="00B700A7" w:rsidRPr="00C32C72">
        <w:rPr>
          <w:color w:val="000000" w:themeColor="text1"/>
          <w:sz w:val="24"/>
          <w:szCs w:val="24"/>
        </w:rPr>
        <w:t xml:space="preserve"> andesitic to rhyolitic </w:t>
      </w:r>
      <w:r w:rsidR="00C878B2" w:rsidRPr="00C32C72">
        <w:rPr>
          <w:color w:val="000000" w:themeColor="text1"/>
          <w:sz w:val="24"/>
          <w:szCs w:val="24"/>
        </w:rPr>
        <w:t xml:space="preserve">centers </w:t>
      </w:r>
      <w:r w:rsidR="00B700A7" w:rsidRPr="00C32C72">
        <w:rPr>
          <w:color w:val="000000" w:themeColor="text1"/>
          <w:sz w:val="24"/>
          <w:szCs w:val="24"/>
        </w:rPr>
        <w:t xml:space="preserve">but </w:t>
      </w:r>
      <w:r w:rsidR="00C878B2" w:rsidRPr="00C32C72">
        <w:rPr>
          <w:color w:val="000000" w:themeColor="text1"/>
          <w:sz w:val="24"/>
          <w:szCs w:val="24"/>
        </w:rPr>
        <w:t>tend to be similar over a long range in SiO</w:t>
      </w:r>
      <w:r w:rsidR="00C878B2" w:rsidRPr="00C32C72">
        <w:rPr>
          <w:color w:val="000000" w:themeColor="text1"/>
          <w:sz w:val="24"/>
          <w:szCs w:val="24"/>
          <w:vertAlign w:val="subscript"/>
        </w:rPr>
        <w:t>2</w:t>
      </w:r>
      <w:r w:rsidR="00C878B2" w:rsidRPr="00C32C72">
        <w:rPr>
          <w:color w:val="000000" w:themeColor="text1"/>
          <w:sz w:val="24"/>
          <w:szCs w:val="24"/>
        </w:rPr>
        <w:t xml:space="preserve"> content within the same center</w:t>
      </w:r>
      <w:r w:rsidR="00517F44" w:rsidRPr="00C32C72">
        <w:rPr>
          <w:color w:val="000000" w:themeColor="text1"/>
          <w:sz w:val="24"/>
          <w:szCs w:val="24"/>
        </w:rPr>
        <w:t>”</w:t>
      </w:r>
      <w:r w:rsidR="00C878B2" w:rsidRPr="00C32C72">
        <w:rPr>
          <w:color w:val="000000" w:themeColor="text1"/>
          <w:sz w:val="24"/>
          <w:szCs w:val="24"/>
        </w:rPr>
        <w:t xml:space="preserve"> (</w:t>
      </w:r>
      <w:r w:rsidR="00B700A7" w:rsidRPr="00C32C72">
        <w:rPr>
          <w:color w:val="000000" w:themeColor="text1"/>
          <w:sz w:val="24"/>
          <w:szCs w:val="24"/>
        </w:rPr>
        <w:t>see Kay et al. Figure 11</w:t>
      </w:r>
      <w:r w:rsidR="00C878B2" w:rsidRPr="00C32C72">
        <w:rPr>
          <w:color w:val="000000" w:themeColor="text1"/>
          <w:sz w:val="24"/>
          <w:szCs w:val="24"/>
        </w:rPr>
        <w:t xml:space="preserve">). </w:t>
      </w:r>
      <w:r w:rsidR="00CC7557" w:rsidRPr="00C32C72">
        <w:rPr>
          <w:color w:val="000000" w:themeColor="text1"/>
          <w:sz w:val="24"/>
          <w:szCs w:val="24"/>
        </w:rPr>
        <w:t xml:space="preserve">Therefore, </w:t>
      </w:r>
      <w:r w:rsidR="00517F44" w:rsidRPr="00C32C72">
        <w:rPr>
          <w:color w:val="000000" w:themeColor="text1"/>
          <w:sz w:val="24"/>
          <w:szCs w:val="24"/>
        </w:rPr>
        <w:t>although</w:t>
      </w:r>
      <w:r w:rsidR="00CC7557" w:rsidRPr="00C32C72">
        <w:rPr>
          <w:color w:val="000000" w:themeColor="text1"/>
          <w:sz w:val="24"/>
          <w:szCs w:val="24"/>
        </w:rPr>
        <w:t xml:space="preserve"> Andean volcanism collectively exhibits a wide range in </w:t>
      </w:r>
      <w:r w:rsidR="00CC7557" w:rsidRPr="00C32C72">
        <w:rPr>
          <w:color w:val="000000" w:themeColor="text1"/>
          <w:sz w:val="24"/>
          <w:szCs w:val="24"/>
          <w:vertAlign w:val="superscript"/>
        </w:rPr>
        <w:t>87</w:t>
      </w:r>
      <w:r w:rsidR="00CC7557" w:rsidRPr="00C32C72">
        <w:rPr>
          <w:color w:val="000000" w:themeColor="text1"/>
          <w:sz w:val="24"/>
          <w:szCs w:val="24"/>
        </w:rPr>
        <w:t>Sr/</w:t>
      </w:r>
      <w:r w:rsidR="00CC7557" w:rsidRPr="00C32C72">
        <w:rPr>
          <w:color w:val="000000" w:themeColor="text1"/>
          <w:sz w:val="24"/>
          <w:szCs w:val="24"/>
          <w:vertAlign w:val="superscript"/>
        </w:rPr>
        <w:t>86</w:t>
      </w:r>
      <w:r w:rsidR="00CC7557" w:rsidRPr="00C32C72">
        <w:rPr>
          <w:color w:val="000000" w:themeColor="text1"/>
          <w:sz w:val="24"/>
          <w:szCs w:val="24"/>
        </w:rPr>
        <w:t xml:space="preserve">Sr </w:t>
      </w:r>
      <w:r w:rsidR="00CB03BE" w:rsidRPr="00C32C72">
        <w:rPr>
          <w:color w:val="000000" w:themeColor="text1"/>
          <w:sz w:val="24"/>
          <w:szCs w:val="24"/>
        </w:rPr>
        <w:t>and</w:t>
      </w:r>
      <w:r w:rsidR="001173B1" w:rsidRPr="00C32C72">
        <w:rPr>
          <w:color w:val="000000" w:themeColor="text1"/>
          <w:sz w:val="24"/>
          <w:szCs w:val="24"/>
        </w:rPr>
        <w:t xml:space="preserve"> aspects of the variation with SiO</w:t>
      </w:r>
      <w:r w:rsidR="001173B1" w:rsidRPr="00C32C72">
        <w:rPr>
          <w:color w:val="000000" w:themeColor="text1"/>
          <w:sz w:val="24"/>
          <w:szCs w:val="24"/>
          <w:vertAlign w:val="subscript"/>
        </w:rPr>
        <w:t>2</w:t>
      </w:r>
      <w:r w:rsidR="00CB03BE" w:rsidRPr="00C32C72">
        <w:rPr>
          <w:color w:val="000000" w:themeColor="text1"/>
          <w:sz w:val="24"/>
          <w:szCs w:val="24"/>
        </w:rPr>
        <w:t xml:space="preserve"> may superficially resemble </w:t>
      </w:r>
      <w:r w:rsidR="001173B1" w:rsidRPr="00C32C72">
        <w:rPr>
          <w:color w:val="000000" w:themeColor="text1"/>
          <w:sz w:val="24"/>
          <w:szCs w:val="24"/>
        </w:rPr>
        <w:t xml:space="preserve">that exhibited by the </w:t>
      </w:r>
      <w:proofErr w:type="spellStart"/>
      <w:r w:rsidR="00CC7557" w:rsidRPr="00C32C72">
        <w:rPr>
          <w:color w:val="000000" w:themeColor="text1"/>
          <w:sz w:val="24"/>
          <w:szCs w:val="24"/>
        </w:rPr>
        <w:t>Arcuentu</w:t>
      </w:r>
      <w:proofErr w:type="spellEnd"/>
      <w:r w:rsidR="001173B1" w:rsidRPr="00C32C72">
        <w:rPr>
          <w:color w:val="000000" w:themeColor="text1"/>
          <w:sz w:val="24"/>
          <w:szCs w:val="24"/>
        </w:rPr>
        <w:t xml:space="preserve"> Complex</w:t>
      </w:r>
      <w:r w:rsidR="00CB03BE" w:rsidRPr="00C32C72">
        <w:rPr>
          <w:color w:val="000000" w:themeColor="text1"/>
          <w:sz w:val="24"/>
          <w:szCs w:val="24"/>
        </w:rPr>
        <w:t xml:space="preserve">, </w:t>
      </w:r>
      <w:r w:rsidR="00503CB5" w:rsidRPr="00C32C72">
        <w:rPr>
          <w:color w:val="000000" w:themeColor="text1"/>
          <w:sz w:val="24"/>
          <w:szCs w:val="24"/>
        </w:rPr>
        <w:t>the</w:t>
      </w:r>
      <w:r w:rsidR="003C254D" w:rsidRPr="00C32C72">
        <w:rPr>
          <w:color w:val="000000" w:themeColor="text1"/>
          <w:sz w:val="24"/>
          <w:szCs w:val="24"/>
        </w:rPr>
        <w:t xml:space="preserve"> correlation between these two parameters </w:t>
      </w:r>
      <w:r w:rsidR="00CB03BE" w:rsidRPr="00C32C72">
        <w:rPr>
          <w:color w:val="000000" w:themeColor="text1"/>
          <w:sz w:val="24"/>
          <w:szCs w:val="24"/>
        </w:rPr>
        <w:t xml:space="preserve">within individual </w:t>
      </w:r>
      <w:r w:rsidR="001173B1" w:rsidRPr="00C32C72">
        <w:rPr>
          <w:color w:val="000000" w:themeColor="text1"/>
          <w:sz w:val="24"/>
          <w:szCs w:val="24"/>
        </w:rPr>
        <w:t xml:space="preserve">Andean </w:t>
      </w:r>
      <w:r w:rsidR="00CB03BE" w:rsidRPr="00C32C72">
        <w:rPr>
          <w:color w:val="000000" w:themeColor="text1"/>
          <w:sz w:val="24"/>
          <w:szCs w:val="24"/>
        </w:rPr>
        <w:t xml:space="preserve">volcanic centers is markedly different from that of the </w:t>
      </w:r>
      <w:proofErr w:type="spellStart"/>
      <w:r w:rsidR="00CB03BE" w:rsidRPr="00C32C72">
        <w:rPr>
          <w:color w:val="000000" w:themeColor="text1"/>
          <w:sz w:val="24"/>
          <w:szCs w:val="24"/>
        </w:rPr>
        <w:t>Arcuentu</w:t>
      </w:r>
      <w:proofErr w:type="spellEnd"/>
      <w:r w:rsidR="00CB03BE" w:rsidRPr="00C32C72">
        <w:rPr>
          <w:color w:val="000000" w:themeColor="text1"/>
          <w:sz w:val="24"/>
          <w:szCs w:val="24"/>
        </w:rPr>
        <w:t xml:space="preserve"> Complex</w:t>
      </w:r>
      <w:r w:rsidR="00CC7557" w:rsidRPr="00C32C72">
        <w:rPr>
          <w:color w:val="000000" w:themeColor="text1"/>
          <w:sz w:val="24"/>
          <w:szCs w:val="24"/>
        </w:rPr>
        <w:t xml:space="preserve">. </w:t>
      </w:r>
      <w:r w:rsidR="00271B1C" w:rsidRPr="00C32C72">
        <w:rPr>
          <w:color w:val="000000" w:themeColor="text1"/>
          <w:sz w:val="24"/>
          <w:szCs w:val="24"/>
        </w:rPr>
        <w:t xml:space="preserve">The isotopic compositions that appear to be most </w:t>
      </w:r>
      <w:proofErr w:type="gramStart"/>
      <w:r w:rsidR="00271B1C" w:rsidRPr="00C32C72">
        <w:rPr>
          <w:color w:val="000000" w:themeColor="text1"/>
          <w:sz w:val="24"/>
          <w:szCs w:val="24"/>
        </w:rPr>
        <w:t>similar to</w:t>
      </w:r>
      <w:proofErr w:type="gramEnd"/>
      <w:r w:rsidR="00271B1C" w:rsidRPr="00C32C72">
        <w:rPr>
          <w:color w:val="000000" w:themeColor="text1"/>
          <w:sz w:val="24"/>
          <w:szCs w:val="24"/>
        </w:rPr>
        <w:t xml:space="preserve"> </w:t>
      </w:r>
      <w:proofErr w:type="spellStart"/>
      <w:r w:rsidR="00271B1C" w:rsidRPr="00C32C72">
        <w:rPr>
          <w:color w:val="000000" w:themeColor="text1"/>
          <w:sz w:val="24"/>
          <w:szCs w:val="24"/>
        </w:rPr>
        <w:t>Arcuentu</w:t>
      </w:r>
      <w:proofErr w:type="spellEnd"/>
      <w:r w:rsidR="00271B1C" w:rsidRPr="00C32C72">
        <w:rPr>
          <w:color w:val="000000" w:themeColor="text1"/>
          <w:sz w:val="24"/>
          <w:szCs w:val="24"/>
        </w:rPr>
        <w:t xml:space="preserve"> Complex rocks are </w:t>
      </w:r>
      <w:r w:rsidR="00503CB5" w:rsidRPr="00C32C72">
        <w:rPr>
          <w:color w:val="000000" w:themeColor="text1"/>
          <w:sz w:val="24"/>
          <w:szCs w:val="24"/>
        </w:rPr>
        <w:t>from</w:t>
      </w:r>
      <w:r w:rsidR="00271B1C" w:rsidRPr="00C32C72">
        <w:rPr>
          <w:color w:val="000000" w:themeColor="text1"/>
          <w:sz w:val="24"/>
          <w:szCs w:val="24"/>
        </w:rPr>
        <w:t xml:space="preserve"> ignimbrites</w:t>
      </w:r>
      <w:r w:rsidR="00503CB5" w:rsidRPr="00C32C72">
        <w:rPr>
          <w:color w:val="000000" w:themeColor="text1"/>
          <w:sz w:val="24"/>
          <w:szCs w:val="24"/>
        </w:rPr>
        <w:t xml:space="preserve">, which are </w:t>
      </w:r>
      <w:proofErr w:type="spellStart"/>
      <w:r w:rsidR="00503CB5" w:rsidRPr="00C32C72">
        <w:rPr>
          <w:color w:val="000000" w:themeColor="text1"/>
          <w:sz w:val="24"/>
          <w:szCs w:val="24"/>
        </w:rPr>
        <w:t>lithologically</w:t>
      </w:r>
      <w:proofErr w:type="spellEnd"/>
      <w:r w:rsidR="00503CB5" w:rsidRPr="00C32C72">
        <w:rPr>
          <w:color w:val="000000" w:themeColor="text1"/>
          <w:sz w:val="24"/>
          <w:szCs w:val="24"/>
        </w:rPr>
        <w:t xml:space="preserve"> and petrogenetically distinct</w:t>
      </w:r>
      <w:r w:rsidR="00271B1C" w:rsidRPr="00C32C72">
        <w:rPr>
          <w:color w:val="000000" w:themeColor="text1"/>
          <w:sz w:val="24"/>
          <w:szCs w:val="24"/>
        </w:rPr>
        <w:t xml:space="preserve">. </w:t>
      </w:r>
    </w:p>
    <w:p w14:paraId="40F3A760" w14:textId="04A2DCE4" w:rsidR="00D05ED7" w:rsidRPr="00C32C72" w:rsidRDefault="00D05ED7" w:rsidP="00C32C72">
      <w:pPr>
        <w:spacing w:after="60"/>
        <w:ind w:left="720" w:hanging="720"/>
        <w:rPr>
          <w:rFonts w:ascii="Calibri" w:hAnsi="Calibri" w:cs="Calibri"/>
          <w:color w:val="000000" w:themeColor="text1"/>
        </w:rPr>
      </w:pPr>
    </w:p>
    <w:p w14:paraId="25B170AC" w14:textId="721F51F6" w:rsidR="001173B1" w:rsidRPr="00C32C72" w:rsidRDefault="001173B1" w:rsidP="00C32C72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Calibri" w:hAnsi="Calibri" w:cs="Calibri"/>
        </w:rPr>
      </w:pPr>
      <w:r w:rsidRPr="00C32C72">
        <w:rPr>
          <w:rFonts w:ascii="Calibri" w:hAnsi="Calibri" w:cs="Calibri"/>
        </w:rPr>
        <w:t>de Silva, S.L., 1989, Geochronology and stratigraphy of the ignimbrites from the 21.30</w:t>
      </w:r>
      <w:r w:rsidRPr="00C32C72">
        <w:rPr>
          <w:rFonts w:ascii="Calibri" w:eastAsia="GlwftrEuclidSymbol" w:hAnsi="Calibri" w:cs="Calibri"/>
        </w:rPr>
        <w:t>′</w:t>
      </w:r>
      <w:r w:rsidRPr="00C32C72">
        <w:rPr>
          <w:rFonts w:ascii="Calibri" w:hAnsi="Calibri" w:cs="Calibri"/>
        </w:rPr>
        <w:t>S to 23.30</w:t>
      </w:r>
      <w:r w:rsidRPr="00C32C72">
        <w:rPr>
          <w:rFonts w:ascii="Calibri" w:eastAsia="GlwftrEuclidSymbol" w:hAnsi="Calibri" w:cs="Calibri"/>
        </w:rPr>
        <w:t>′</w:t>
      </w:r>
      <w:r w:rsidRPr="00C32C72">
        <w:rPr>
          <w:rFonts w:ascii="Calibri" w:hAnsi="Calibri" w:cs="Calibri"/>
        </w:rPr>
        <w:t>S portion of the Central Andes of northern Chile. Journal of Volcanology and Geothermal Research:  v. 37, p. 93-131</w:t>
      </w:r>
    </w:p>
    <w:p w14:paraId="54FE60E6" w14:textId="3C80CBA1" w:rsidR="00BF5DD9" w:rsidRPr="00C32C72" w:rsidRDefault="00BF5DD9" w:rsidP="00C32C72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Calibri" w:hAnsi="Calibri" w:cs="Calibri"/>
        </w:rPr>
      </w:pPr>
      <w:proofErr w:type="spellStart"/>
      <w:r w:rsidRPr="00C32C72">
        <w:rPr>
          <w:rFonts w:ascii="Calibri" w:hAnsi="Calibri" w:cs="Calibri"/>
          <w:bCs/>
        </w:rPr>
        <w:t>Freymuth</w:t>
      </w:r>
      <w:proofErr w:type="spellEnd"/>
      <w:r w:rsidRPr="00C32C72">
        <w:rPr>
          <w:rFonts w:ascii="Calibri" w:hAnsi="Calibri" w:cs="Calibri"/>
          <w:bCs/>
        </w:rPr>
        <w:t xml:space="preserve">, H., </w:t>
      </w:r>
      <w:proofErr w:type="spellStart"/>
      <w:r w:rsidRPr="00C32C72">
        <w:rPr>
          <w:rFonts w:ascii="Calibri" w:hAnsi="Calibri" w:cs="Calibri"/>
          <w:bCs/>
        </w:rPr>
        <w:t>Brandmeier</w:t>
      </w:r>
      <w:proofErr w:type="spellEnd"/>
      <w:r w:rsidRPr="00C32C72">
        <w:rPr>
          <w:rFonts w:ascii="Calibri" w:hAnsi="Calibri" w:cs="Calibri"/>
          <w:bCs/>
        </w:rPr>
        <w:t xml:space="preserve">, M., </w:t>
      </w:r>
      <w:proofErr w:type="spellStart"/>
      <w:r w:rsidRPr="00C32C72">
        <w:rPr>
          <w:rFonts w:ascii="Calibri" w:hAnsi="Calibri" w:cs="Calibri"/>
          <w:bCs/>
        </w:rPr>
        <w:t>Wörner</w:t>
      </w:r>
      <w:proofErr w:type="spellEnd"/>
      <w:r w:rsidRPr="00C32C72">
        <w:rPr>
          <w:rFonts w:ascii="Calibri" w:hAnsi="Calibri" w:cs="Calibri"/>
          <w:bCs/>
        </w:rPr>
        <w:t xml:space="preserve">, G., 2015, The origin and crust/mantle mass balance of Central Andean ignimbrite magmatism constrained by oxygen and strontium isotopes and erupted volumes:  </w:t>
      </w:r>
      <w:proofErr w:type="spellStart"/>
      <w:r w:rsidRPr="00C32C72">
        <w:rPr>
          <w:rFonts w:ascii="Calibri" w:hAnsi="Calibri" w:cs="Calibri"/>
        </w:rPr>
        <w:t>ontrib</w:t>
      </w:r>
      <w:proofErr w:type="spellEnd"/>
      <w:r w:rsidRPr="00C32C72">
        <w:rPr>
          <w:rFonts w:ascii="Calibri" w:hAnsi="Calibri" w:cs="Calibri"/>
        </w:rPr>
        <w:t xml:space="preserve"> Mineral Petrol v. 169, article ID 58, DOI 10.1007/s00410-015-1152-5.</w:t>
      </w:r>
    </w:p>
    <w:p w14:paraId="54BA5B60" w14:textId="4349F660" w:rsidR="00C32C72" w:rsidRPr="00C32C72" w:rsidRDefault="00C32C72" w:rsidP="00C32C72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Calibri" w:hAnsi="Calibri" w:cs="Calibri"/>
          <w:color w:val="000000"/>
        </w:rPr>
      </w:pPr>
      <w:proofErr w:type="spellStart"/>
      <w:r w:rsidRPr="00C32C72">
        <w:rPr>
          <w:rFonts w:ascii="Calibri" w:hAnsi="Calibri" w:cs="Calibri"/>
          <w:color w:val="000000"/>
        </w:rPr>
        <w:t>Mahlburg</w:t>
      </w:r>
      <w:proofErr w:type="spellEnd"/>
      <w:r w:rsidRPr="00C32C72">
        <w:rPr>
          <w:rFonts w:ascii="Calibri" w:hAnsi="Calibri" w:cs="Calibri"/>
          <w:color w:val="000000"/>
        </w:rPr>
        <w:t xml:space="preserve"> Kay, S., </w:t>
      </w:r>
      <w:proofErr w:type="spellStart"/>
      <w:r w:rsidRPr="00C32C72">
        <w:rPr>
          <w:rFonts w:ascii="Calibri" w:hAnsi="Calibri" w:cs="Calibri"/>
          <w:color w:val="000000"/>
        </w:rPr>
        <w:t>Coira</w:t>
      </w:r>
      <w:proofErr w:type="spellEnd"/>
      <w:r w:rsidRPr="00C32C72">
        <w:rPr>
          <w:rFonts w:ascii="Calibri" w:hAnsi="Calibri" w:cs="Calibri"/>
          <w:color w:val="000000"/>
        </w:rPr>
        <w:t>, B.L., Caffe, P.J., Chen, C-H., 2010, Regional chemical diversity, crustal and mantle sources and evolution of central</w:t>
      </w:r>
      <w:r>
        <w:rPr>
          <w:rFonts w:ascii="Calibri" w:hAnsi="Calibri" w:cs="Calibri"/>
          <w:color w:val="000000"/>
        </w:rPr>
        <w:t xml:space="preserve"> </w:t>
      </w:r>
      <w:r w:rsidRPr="00C32C72">
        <w:rPr>
          <w:rFonts w:ascii="Calibri" w:hAnsi="Calibri" w:cs="Calibri"/>
          <w:color w:val="000000"/>
        </w:rPr>
        <w:t xml:space="preserve">Andean </w:t>
      </w:r>
      <w:proofErr w:type="spellStart"/>
      <w:r w:rsidRPr="00C32C72">
        <w:rPr>
          <w:rFonts w:ascii="Calibri" w:hAnsi="Calibri" w:cs="Calibri"/>
          <w:color w:val="000000"/>
        </w:rPr>
        <w:t>Puna</w:t>
      </w:r>
      <w:proofErr w:type="spellEnd"/>
      <w:r w:rsidRPr="00C32C72">
        <w:rPr>
          <w:rFonts w:ascii="Calibri" w:hAnsi="Calibri" w:cs="Calibri"/>
          <w:color w:val="000000"/>
        </w:rPr>
        <w:t xml:space="preserve"> plateau ignimbrites: Journal of Volcanology and Geothermal Research, v. 198, p. 81-111.</w:t>
      </w:r>
    </w:p>
    <w:p w14:paraId="18A63296" w14:textId="256F51BA" w:rsidR="001173B1" w:rsidRPr="00C32C72" w:rsidRDefault="00BF5DD9" w:rsidP="00C32C72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Calibri" w:hAnsi="Calibri" w:cs="Calibri"/>
        </w:rPr>
      </w:pPr>
      <w:r w:rsidRPr="00C32C72">
        <w:rPr>
          <w:rFonts w:ascii="Calibri" w:hAnsi="Calibri" w:cs="Calibri"/>
        </w:rPr>
        <w:t xml:space="preserve">Lindsay, J.M., Schmitt, A.K., Trumbull, R.B., de Silva, S.L., Siebel, W., </w:t>
      </w:r>
      <w:proofErr w:type="spellStart"/>
      <w:r w:rsidRPr="00C32C72">
        <w:rPr>
          <w:rFonts w:ascii="Calibri" w:hAnsi="Calibri" w:cs="Calibri"/>
        </w:rPr>
        <w:t>Emmermann</w:t>
      </w:r>
      <w:proofErr w:type="spellEnd"/>
      <w:r w:rsidRPr="00C32C72">
        <w:rPr>
          <w:rFonts w:ascii="Calibri" w:hAnsi="Calibri" w:cs="Calibri"/>
        </w:rPr>
        <w:t xml:space="preserve">, R., 2001, </w:t>
      </w:r>
      <w:r w:rsidR="001173B1" w:rsidRPr="00C32C72">
        <w:rPr>
          <w:rFonts w:ascii="Calibri" w:hAnsi="Calibri" w:cs="Calibri"/>
        </w:rPr>
        <w:t xml:space="preserve">Magmatic evolution of the La </w:t>
      </w:r>
      <w:proofErr w:type="spellStart"/>
      <w:r w:rsidR="001173B1" w:rsidRPr="00C32C72">
        <w:rPr>
          <w:rFonts w:ascii="Calibri" w:hAnsi="Calibri" w:cs="Calibri"/>
        </w:rPr>
        <w:t>Pacana</w:t>
      </w:r>
      <w:proofErr w:type="spellEnd"/>
      <w:r w:rsidR="001173B1" w:rsidRPr="00C32C72">
        <w:rPr>
          <w:rFonts w:ascii="Calibri" w:hAnsi="Calibri" w:cs="Calibri"/>
        </w:rPr>
        <w:t xml:space="preserve"> Caldera System, Central Andes, Chile: compositional variation of two cogenetic, large-volume felsic ignimbrites:  Journal of Petrology, v. 42, p. 459-486.</w:t>
      </w:r>
    </w:p>
    <w:p w14:paraId="3A529D92" w14:textId="1D2DBD35" w:rsidR="001173B1" w:rsidRDefault="001173B1" w:rsidP="001173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</w:p>
    <w:p w14:paraId="7EC05A8A" w14:textId="77777777" w:rsidR="00881424" w:rsidRPr="001173B1" w:rsidRDefault="00881424" w:rsidP="001173B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</w:p>
    <w:p w14:paraId="12EDA1C6" w14:textId="77777777" w:rsidR="00FB27DD" w:rsidRDefault="00FB27DD">
      <w:pPr>
        <w:rPr>
          <w:rFonts w:ascii="Calibri" w:hAnsi="Calibri" w:cs="Calibri"/>
          <w:b/>
          <w:i/>
          <w:color w:val="000000"/>
          <w:sz w:val="24"/>
          <w:szCs w:val="24"/>
        </w:rPr>
      </w:pPr>
      <w:r>
        <w:rPr>
          <w:rFonts w:ascii="Calibri" w:hAnsi="Calibri" w:cs="Calibri"/>
          <w:b/>
          <w:i/>
          <w:color w:val="000000"/>
          <w:sz w:val="24"/>
          <w:szCs w:val="24"/>
        </w:rPr>
        <w:br w:type="page"/>
      </w:r>
    </w:p>
    <w:p w14:paraId="31C8DF89" w14:textId="7B9EA223" w:rsidR="00092518" w:rsidRPr="00634BAA" w:rsidRDefault="00B64B9A" w:rsidP="00092518">
      <w:pPr>
        <w:autoSpaceDE w:val="0"/>
        <w:autoSpaceDN w:val="0"/>
        <w:adjustRightInd w:val="0"/>
        <w:spacing w:after="60" w:line="264" w:lineRule="auto"/>
        <w:jc w:val="both"/>
        <w:rPr>
          <w:rFonts w:ascii="Calibri" w:hAnsi="Calibri" w:cs="Calibri"/>
          <w:b/>
          <w:i/>
          <w:color w:val="000000"/>
          <w:sz w:val="24"/>
          <w:szCs w:val="24"/>
        </w:rPr>
      </w:pPr>
      <w:r>
        <w:rPr>
          <w:rFonts w:ascii="Calibri" w:hAnsi="Calibri" w:cs="Calibri"/>
          <w:b/>
          <w:i/>
          <w:color w:val="000000"/>
          <w:sz w:val="24"/>
          <w:szCs w:val="24"/>
        </w:rPr>
        <w:t xml:space="preserve">   </w:t>
      </w:r>
      <w:r w:rsidR="0038542F">
        <w:rPr>
          <w:rFonts w:ascii="Calibri" w:hAnsi="Calibri" w:cs="Calibri"/>
          <w:b/>
          <w:i/>
          <w:color w:val="000000"/>
          <w:sz w:val="24"/>
          <w:szCs w:val="24"/>
        </w:rPr>
        <w:t xml:space="preserve">  </w:t>
      </w:r>
      <w:r w:rsidR="004D3BF2">
        <w:rPr>
          <w:rFonts w:ascii="Calibri" w:hAnsi="Calibri" w:cs="Calibri"/>
          <w:b/>
          <w:i/>
          <w:color w:val="000000"/>
          <w:sz w:val="24"/>
          <w:szCs w:val="24"/>
        </w:rPr>
        <w:t>Figure S</w:t>
      </w:r>
      <w:r w:rsidR="009070CA">
        <w:rPr>
          <w:rFonts w:ascii="Calibri" w:hAnsi="Calibri" w:cs="Calibri"/>
          <w:b/>
          <w:i/>
          <w:color w:val="000000"/>
          <w:sz w:val="24"/>
          <w:szCs w:val="24"/>
        </w:rPr>
        <w:t>4</w:t>
      </w:r>
      <w:r w:rsidR="004D3BF2">
        <w:rPr>
          <w:rFonts w:ascii="Calibri" w:hAnsi="Calibri" w:cs="Calibri"/>
          <w:b/>
          <w:i/>
          <w:color w:val="000000"/>
          <w:sz w:val="24"/>
          <w:szCs w:val="24"/>
        </w:rPr>
        <w:t xml:space="preserve">.  </w:t>
      </w:r>
      <w:r w:rsidR="00BE3F2D">
        <w:rPr>
          <w:rFonts w:ascii="Calibri" w:hAnsi="Calibri" w:cs="Calibri"/>
          <w:b/>
          <w:i/>
          <w:color w:val="000000"/>
          <w:sz w:val="24"/>
          <w:szCs w:val="24"/>
        </w:rPr>
        <w:t xml:space="preserve">Source Heterogeneity - </w:t>
      </w:r>
      <w:r w:rsidR="00634BAA">
        <w:rPr>
          <w:rFonts w:ascii="Calibri" w:hAnsi="Calibri" w:cs="Calibri"/>
          <w:b/>
          <w:i/>
          <w:color w:val="000000"/>
          <w:sz w:val="24"/>
          <w:szCs w:val="24"/>
        </w:rPr>
        <w:t>p</w:t>
      </w:r>
      <w:r w:rsidR="00092518" w:rsidRPr="00634BAA">
        <w:rPr>
          <w:rFonts w:ascii="Calibri" w:hAnsi="Calibri" w:cs="Calibri"/>
          <w:b/>
          <w:i/>
          <w:color w:val="000000"/>
          <w:sz w:val="24"/>
          <w:szCs w:val="24"/>
        </w:rPr>
        <w:t xml:space="preserve">eridotite vs </w:t>
      </w:r>
      <w:r w:rsidR="00634BAA">
        <w:rPr>
          <w:rFonts w:ascii="Calibri" w:hAnsi="Calibri" w:cs="Calibri"/>
          <w:b/>
          <w:i/>
          <w:color w:val="000000"/>
          <w:sz w:val="24"/>
          <w:szCs w:val="24"/>
        </w:rPr>
        <w:t>p</w:t>
      </w:r>
      <w:r w:rsidR="00092518" w:rsidRPr="00634BAA">
        <w:rPr>
          <w:rFonts w:ascii="Calibri" w:hAnsi="Calibri" w:cs="Calibri"/>
          <w:b/>
          <w:i/>
          <w:color w:val="000000"/>
          <w:sz w:val="24"/>
          <w:szCs w:val="24"/>
        </w:rPr>
        <w:t>yroxenite</w:t>
      </w:r>
    </w:p>
    <w:p w14:paraId="50AE8C25" w14:textId="1A767997" w:rsidR="00634BAA" w:rsidRDefault="00092518" w:rsidP="00634BAA">
      <w:pPr>
        <w:autoSpaceDE w:val="0"/>
        <w:autoSpaceDN w:val="0"/>
        <w:adjustRightInd w:val="0"/>
        <w:spacing w:after="60" w:line="264" w:lineRule="auto"/>
        <w:ind w:firstLine="720"/>
        <w:rPr>
          <w:rFonts w:ascii="Calibri" w:hAnsi="Calibri" w:cs="Calibri"/>
          <w:color w:val="000000"/>
          <w:sz w:val="24"/>
          <w:szCs w:val="24"/>
          <w:lang w:eastAsia="it-IT"/>
        </w:rPr>
      </w:pPr>
      <w:r w:rsidRPr="00634BAA">
        <w:rPr>
          <w:rFonts w:ascii="Calibri" w:hAnsi="Calibri" w:cs="Calibri"/>
          <w:color w:val="000000"/>
          <w:sz w:val="24"/>
          <w:szCs w:val="24"/>
          <w:lang w:eastAsia="it-IT"/>
        </w:rPr>
        <w:t>Given the increasing recognition that olivine-poor lithologies</w:t>
      </w:r>
      <w:r w:rsidR="00634BAA">
        <w:rPr>
          <w:rFonts w:ascii="Calibri" w:hAnsi="Calibri" w:cs="Calibri"/>
          <w:color w:val="000000"/>
          <w:sz w:val="24"/>
          <w:szCs w:val="24"/>
          <w:lang w:eastAsia="it-IT"/>
        </w:rPr>
        <w:t xml:space="preserve">, e.g., </w:t>
      </w:r>
      <w:r w:rsidRPr="00634BAA">
        <w:rPr>
          <w:rFonts w:ascii="Calibri" w:hAnsi="Calibri" w:cs="Calibri"/>
          <w:color w:val="000000"/>
          <w:sz w:val="24"/>
          <w:szCs w:val="24"/>
          <w:lang w:eastAsia="it-IT"/>
        </w:rPr>
        <w:t xml:space="preserve">pyroxenitic </w:t>
      </w:r>
      <w:r w:rsidR="00634BAA">
        <w:rPr>
          <w:rFonts w:ascii="Calibri" w:hAnsi="Calibri" w:cs="Calibri"/>
          <w:color w:val="000000"/>
          <w:sz w:val="24"/>
          <w:szCs w:val="24"/>
          <w:lang w:eastAsia="it-IT"/>
        </w:rPr>
        <w:t xml:space="preserve">and/or </w:t>
      </w:r>
      <w:r w:rsidRPr="00634BAA">
        <w:rPr>
          <w:rFonts w:ascii="Calibri" w:hAnsi="Calibri" w:cs="Calibri"/>
          <w:color w:val="000000"/>
          <w:sz w:val="24"/>
          <w:szCs w:val="24"/>
          <w:lang w:eastAsia="it-IT"/>
        </w:rPr>
        <w:t>eclogitic components</w:t>
      </w:r>
      <w:r w:rsidR="00634BAA">
        <w:rPr>
          <w:rFonts w:ascii="Calibri" w:hAnsi="Calibri" w:cs="Calibri"/>
          <w:color w:val="000000"/>
          <w:sz w:val="24"/>
          <w:szCs w:val="24"/>
          <w:lang w:eastAsia="it-IT"/>
        </w:rPr>
        <w:t xml:space="preserve">, </w:t>
      </w:r>
      <w:r w:rsidRPr="00634BAA">
        <w:rPr>
          <w:rFonts w:ascii="Calibri" w:hAnsi="Calibri" w:cs="Calibri"/>
          <w:color w:val="000000"/>
          <w:sz w:val="24"/>
          <w:szCs w:val="24"/>
          <w:lang w:eastAsia="it-IT"/>
        </w:rPr>
        <w:t xml:space="preserve">in the </w:t>
      </w:r>
      <w:proofErr w:type="spellStart"/>
      <w:r w:rsidRPr="00634BAA">
        <w:rPr>
          <w:rFonts w:ascii="Calibri" w:hAnsi="Calibri" w:cs="Calibri"/>
          <w:color w:val="000000"/>
          <w:sz w:val="24"/>
          <w:szCs w:val="24"/>
          <w:lang w:eastAsia="it-IT"/>
        </w:rPr>
        <w:t>peridotitic</w:t>
      </w:r>
      <w:proofErr w:type="spellEnd"/>
      <w:r w:rsidRPr="00634BAA">
        <w:rPr>
          <w:rFonts w:ascii="Calibri" w:hAnsi="Calibri" w:cs="Calibri"/>
          <w:color w:val="000000"/>
          <w:sz w:val="24"/>
          <w:szCs w:val="24"/>
          <w:lang w:eastAsia="it-IT"/>
        </w:rPr>
        <w:t xml:space="preserve"> mantle may be major contributor</w:t>
      </w:r>
      <w:r w:rsidR="00634BAA">
        <w:rPr>
          <w:rFonts w:ascii="Calibri" w:hAnsi="Calibri" w:cs="Calibri"/>
          <w:color w:val="000000"/>
          <w:sz w:val="24"/>
          <w:szCs w:val="24"/>
          <w:lang w:eastAsia="it-IT"/>
        </w:rPr>
        <w:t>s</w:t>
      </w:r>
      <w:r w:rsidRPr="00634BAA">
        <w:rPr>
          <w:rFonts w:ascii="Calibri" w:hAnsi="Calibri" w:cs="Calibri"/>
          <w:color w:val="000000"/>
          <w:sz w:val="24"/>
          <w:szCs w:val="24"/>
          <w:lang w:eastAsia="it-IT"/>
        </w:rPr>
        <w:t xml:space="preserve"> to the enriched compositions of some E-MORB and OIB (Yang et al., 2016, and references therein), it is worth briefly considering this possibility for the origin of Monte </w:t>
      </w:r>
      <w:proofErr w:type="spellStart"/>
      <w:r w:rsidRPr="00634BAA">
        <w:rPr>
          <w:rFonts w:ascii="Calibri" w:hAnsi="Calibri" w:cs="Calibri"/>
          <w:color w:val="000000"/>
          <w:sz w:val="24"/>
          <w:szCs w:val="24"/>
          <w:lang w:eastAsia="it-IT"/>
        </w:rPr>
        <w:t>Arcuentu</w:t>
      </w:r>
      <w:proofErr w:type="spellEnd"/>
      <w:r w:rsidRPr="00634BAA">
        <w:rPr>
          <w:rFonts w:ascii="Calibri" w:hAnsi="Calibri" w:cs="Calibri"/>
          <w:color w:val="000000"/>
          <w:sz w:val="24"/>
          <w:szCs w:val="24"/>
          <w:lang w:eastAsia="it-IT"/>
        </w:rPr>
        <w:t xml:space="preserve"> rocks. </w:t>
      </w:r>
    </w:p>
    <w:p w14:paraId="3B8B79E3" w14:textId="1CB6736E" w:rsidR="00092518" w:rsidRPr="00634BAA" w:rsidRDefault="004D3BF2" w:rsidP="00634BAA">
      <w:pPr>
        <w:autoSpaceDE w:val="0"/>
        <w:autoSpaceDN w:val="0"/>
        <w:adjustRightInd w:val="0"/>
        <w:spacing w:after="60" w:line="264" w:lineRule="auto"/>
        <w:ind w:firstLine="7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C14CA2" wp14:editId="5D6C60A6">
                <wp:simplePos x="0" y="0"/>
                <wp:positionH relativeFrom="column">
                  <wp:posOffset>4299552</wp:posOffset>
                </wp:positionH>
                <wp:positionV relativeFrom="paragraph">
                  <wp:posOffset>3169457</wp:posOffset>
                </wp:positionV>
                <wp:extent cx="1492885" cy="1464310"/>
                <wp:effectExtent l="0" t="0" r="0" b="254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885" cy="1464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5946FF" w14:textId="72698B8D" w:rsidR="008E1CD8" w:rsidRPr="008E1CD8" w:rsidRDefault="008E1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E3F2D">
                              <w:rPr>
                                <w:b/>
                                <w:sz w:val="18"/>
                                <w:szCs w:val="18"/>
                              </w:rPr>
                              <w:t>Figure S</w:t>
                            </w:r>
                            <w:r w:rsidR="009070CA">
                              <w:rPr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  <w:r w:rsidRPr="00BE3F2D">
                              <w:rPr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 w:rsidRPr="008E1CD8">
                              <w:rPr>
                                <w:sz w:val="18"/>
                                <w:szCs w:val="18"/>
                              </w:rPr>
                              <w:t xml:space="preserve">.  Zn/Fe vs. </w:t>
                            </w:r>
                            <w:proofErr w:type="spellStart"/>
                            <w:r w:rsidRPr="008E1CD8">
                              <w:rPr>
                                <w:sz w:val="18"/>
                                <w:szCs w:val="18"/>
                              </w:rPr>
                              <w:t>MgO</w:t>
                            </w:r>
                            <w:proofErr w:type="spellEnd"/>
                            <w:r w:rsidRPr="008E1CD8">
                              <w:rPr>
                                <w:sz w:val="18"/>
                                <w:szCs w:val="18"/>
                              </w:rPr>
                              <w:t xml:space="preserve"> for Monte </w:t>
                            </w:r>
                            <w:proofErr w:type="spellStart"/>
                            <w:r w:rsidRPr="008E1CD8">
                              <w:rPr>
                                <w:sz w:val="18"/>
                                <w:szCs w:val="18"/>
                              </w:rPr>
                              <w:t>Arcuentu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.  Range for melts derived from primitive mantle from Yang et al. (2016)</w:t>
                            </w:r>
                            <w:r w:rsidRPr="008E1CD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C14CA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38.55pt;margin-top:249.55pt;width:117.55pt;height:11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" fillcolor="white [3201]" stroked="f" strokeweight=".5pt">
                <v:textbox>
                  <w:txbxContent>
                    <w:p w14:paraId="7F5946FF" w14:textId="72698B8D" w:rsidR="008E1CD8" w:rsidRPr="008E1CD8" w:rsidRDefault="008E1CD8">
                      <w:pPr>
                        <w:rPr>
                          <w:sz w:val="18"/>
                          <w:szCs w:val="18"/>
                        </w:rPr>
                      </w:pPr>
                      <w:r w:rsidRPr="00BE3F2D">
                        <w:rPr>
                          <w:b/>
                          <w:sz w:val="18"/>
                          <w:szCs w:val="18"/>
                        </w:rPr>
                        <w:t>Figure S</w:t>
                      </w:r>
                      <w:r w:rsidR="009070CA">
                        <w:rPr>
                          <w:b/>
                          <w:sz w:val="18"/>
                          <w:szCs w:val="18"/>
                        </w:rPr>
                        <w:t>4</w:t>
                      </w:r>
                      <w:r w:rsidRPr="00BE3F2D">
                        <w:rPr>
                          <w:b/>
                          <w:sz w:val="18"/>
                          <w:szCs w:val="18"/>
                        </w:rPr>
                        <w:t>A</w:t>
                      </w:r>
                      <w:r w:rsidRPr="008E1CD8">
                        <w:rPr>
                          <w:sz w:val="18"/>
                          <w:szCs w:val="18"/>
                        </w:rPr>
                        <w:t xml:space="preserve">.  Zn/Fe vs. </w:t>
                      </w:r>
                      <w:proofErr w:type="spellStart"/>
                      <w:r w:rsidRPr="008E1CD8">
                        <w:rPr>
                          <w:sz w:val="18"/>
                          <w:szCs w:val="18"/>
                        </w:rPr>
                        <w:t>MgO</w:t>
                      </w:r>
                      <w:proofErr w:type="spellEnd"/>
                      <w:r w:rsidRPr="008E1CD8">
                        <w:rPr>
                          <w:sz w:val="18"/>
                          <w:szCs w:val="18"/>
                        </w:rPr>
                        <w:t xml:space="preserve"> for Monte </w:t>
                      </w:r>
                      <w:proofErr w:type="spellStart"/>
                      <w:r w:rsidRPr="008E1CD8">
                        <w:rPr>
                          <w:sz w:val="18"/>
                          <w:szCs w:val="18"/>
                        </w:rPr>
                        <w:t>Arcuentu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.  Range for melts derived from primitive mantle from Yang et al. (2016)</w:t>
                      </w:r>
                      <w:r w:rsidRPr="008E1CD8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B7E4DBF" wp14:editId="4CBCAE4C">
            <wp:simplePos x="0" y="0"/>
            <wp:positionH relativeFrom="column">
              <wp:posOffset>5037</wp:posOffset>
            </wp:positionH>
            <wp:positionV relativeFrom="paragraph">
              <wp:posOffset>2627512</wp:posOffset>
            </wp:positionV>
            <wp:extent cx="4147820" cy="3021965"/>
            <wp:effectExtent l="0" t="0" r="5080" b="698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3A FeZn v M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82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518" w:rsidRPr="00634BAA">
        <w:rPr>
          <w:rFonts w:ascii="Calibri" w:hAnsi="Calibri" w:cs="Calibri"/>
          <w:color w:val="000000"/>
          <w:sz w:val="24"/>
          <w:szCs w:val="24"/>
        </w:rPr>
        <w:t xml:space="preserve">Ratios of Zn/Fe, for example, </w:t>
      </w:r>
      <w:r w:rsidR="00092518" w:rsidRPr="00634BAA">
        <w:rPr>
          <w:rFonts w:ascii="Calibri" w:hAnsi="Calibri" w:cs="Calibri"/>
          <w:sz w:val="24"/>
          <w:szCs w:val="24"/>
        </w:rPr>
        <w:t>have been used to identify pyroxenitic source lithologies (Le Roux et al., 2010). This is because Zn and Fe partition equally between olivine and orthopyroxene under mantle conditions</w:t>
      </w:r>
      <w:r w:rsidR="00092518" w:rsidRPr="00634BAA">
        <w:rPr>
          <w:rFonts w:ascii="Calibri" w:eastAsiaTheme="minorEastAsia" w:hAnsi="Calibri" w:cs="Calibri"/>
          <w:sz w:val="24"/>
          <w:szCs w:val="24"/>
        </w:rPr>
        <w:t>,</w:t>
      </w:r>
      <w:r w:rsidR="00092518" w:rsidRPr="00634BAA">
        <w:rPr>
          <w:rFonts w:ascii="Calibri" w:hAnsi="Calibri" w:cs="Calibri"/>
          <w:sz w:val="24"/>
          <w:szCs w:val="24"/>
        </w:rPr>
        <w:t xml:space="preserve"> whereas Zn is more incompatible than Fe in garnet and clinopyroxene. Melts generated from pure </w:t>
      </w:r>
      <w:proofErr w:type="spellStart"/>
      <w:r w:rsidR="00092518" w:rsidRPr="00634BAA">
        <w:rPr>
          <w:rFonts w:ascii="Calibri" w:hAnsi="Calibri" w:cs="Calibri"/>
          <w:sz w:val="24"/>
          <w:szCs w:val="24"/>
        </w:rPr>
        <w:t>peridotitic</w:t>
      </w:r>
      <w:proofErr w:type="spellEnd"/>
      <w:r w:rsidR="00092518" w:rsidRPr="00634BAA">
        <w:rPr>
          <w:rFonts w:ascii="Calibri" w:hAnsi="Calibri" w:cs="Calibri"/>
          <w:sz w:val="24"/>
          <w:szCs w:val="24"/>
        </w:rPr>
        <w:t xml:space="preserve"> mantle are expected to have Zn/Fe ratios of 10-12, whereas pyroxenitic melts are higher, e.g., around 14 (Yang et al., 2016). However, high Zn/Fe melts can also be produced from a peridotite source if fluid metasomatism has enriched it in Zn (</w:t>
      </w:r>
      <w:r w:rsidR="00092518" w:rsidRPr="00634BAA">
        <w:rPr>
          <w:rFonts w:ascii="Calibri" w:hAnsi="Calibri" w:cs="Calibri"/>
          <w:color w:val="000000" w:themeColor="text1"/>
          <w:sz w:val="24"/>
          <w:szCs w:val="24"/>
        </w:rPr>
        <w:t>Le Roux et al., 2010</w:t>
      </w:r>
      <w:r w:rsidR="00092518" w:rsidRPr="00634BAA">
        <w:rPr>
          <w:rFonts w:ascii="Calibri" w:hAnsi="Calibri" w:cs="Calibri"/>
          <w:sz w:val="24"/>
          <w:szCs w:val="24"/>
        </w:rPr>
        <w:t xml:space="preserve">), which is obviously a concern for the </w:t>
      </w:r>
      <w:r w:rsidR="00092518" w:rsidRPr="00634BAA">
        <w:rPr>
          <w:rFonts w:ascii="Calibri" w:hAnsi="Calibri" w:cs="Calibri"/>
          <w:color w:val="000000"/>
          <w:sz w:val="24"/>
          <w:szCs w:val="24"/>
        </w:rPr>
        <w:t xml:space="preserve">arc environment, where hydrous fluids are released from subducting slabs. </w:t>
      </w:r>
      <w:r w:rsidR="00092518" w:rsidRPr="00634BAA">
        <w:rPr>
          <w:rFonts w:ascii="Calibri" w:hAnsi="Calibri" w:cs="Calibri"/>
          <w:sz w:val="24"/>
          <w:szCs w:val="24"/>
        </w:rPr>
        <w:t xml:space="preserve">The most primitive </w:t>
      </w:r>
      <w:proofErr w:type="spellStart"/>
      <w:r w:rsidR="00092518" w:rsidRPr="00634BAA">
        <w:rPr>
          <w:rFonts w:ascii="Calibri" w:hAnsi="Calibri" w:cs="Calibri"/>
          <w:sz w:val="24"/>
          <w:szCs w:val="24"/>
        </w:rPr>
        <w:t>Arcuentu</w:t>
      </w:r>
      <w:proofErr w:type="spellEnd"/>
      <w:r w:rsidR="00092518" w:rsidRPr="00634BAA">
        <w:rPr>
          <w:rFonts w:ascii="Calibri" w:hAnsi="Calibri" w:cs="Calibri"/>
          <w:sz w:val="24"/>
          <w:szCs w:val="24"/>
        </w:rPr>
        <w:t xml:space="preserve"> rocks (i.e. those with </w:t>
      </w:r>
      <w:proofErr w:type="spellStart"/>
      <w:r w:rsidR="00092518" w:rsidRPr="00634BAA">
        <w:rPr>
          <w:rFonts w:ascii="Calibri" w:hAnsi="Calibri" w:cs="Calibri"/>
          <w:sz w:val="24"/>
          <w:szCs w:val="24"/>
        </w:rPr>
        <w:t>MgO</w:t>
      </w:r>
      <w:proofErr w:type="spellEnd"/>
      <w:r w:rsidR="00092518" w:rsidRPr="00634BAA">
        <w:rPr>
          <w:rFonts w:ascii="Calibri" w:hAnsi="Calibri" w:cs="Calibri"/>
          <w:sz w:val="24"/>
          <w:szCs w:val="24"/>
        </w:rPr>
        <w:t xml:space="preserve"> &gt; 8wt%) have Zn/Fe ratios of 10-12</w:t>
      </w:r>
      <w:r w:rsidR="00BE3F2D">
        <w:rPr>
          <w:rFonts w:ascii="Calibri" w:hAnsi="Calibri" w:cs="Calibri"/>
          <w:sz w:val="24"/>
          <w:szCs w:val="24"/>
        </w:rPr>
        <w:t xml:space="preserve"> (Fig. S</w:t>
      </w:r>
      <w:r w:rsidR="009070CA">
        <w:rPr>
          <w:rFonts w:ascii="Calibri" w:hAnsi="Calibri" w:cs="Calibri"/>
          <w:sz w:val="24"/>
          <w:szCs w:val="24"/>
        </w:rPr>
        <w:t>4</w:t>
      </w:r>
      <w:r w:rsidR="00BE3F2D">
        <w:rPr>
          <w:rFonts w:ascii="Calibri" w:hAnsi="Calibri" w:cs="Calibri"/>
          <w:sz w:val="24"/>
          <w:szCs w:val="24"/>
        </w:rPr>
        <w:t>A)</w:t>
      </w:r>
      <w:r w:rsidR="00092518" w:rsidRPr="00634BAA">
        <w:rPr>
          <w:rFonts w:ascii="Calibri" w:hAnsi="Calibri" w:cs="Calibri"/>
          <w:sz w:val="24"/>
          <w:szCs w:val="24"/>
        </w:rPr>
        <w:t xml:space="preserve">, which is the same as the range predicted for melts generated from primitive mantle (Yang et al., 2016). More evolved </w:t>
      </w:r>
      <w:proofErr w:type="spellStart"/>
      <w:r w:rsidR="00092518" w:rsidRPr="00634BAA">
        <w:rPr>
          <w:rFonts w:ascii="Calibri" w:hAnsi="Calibri" w:cs="Calibri"/>
          <w:sz w:val="24"/>
          <w:szCs w:val="24"/>
        </w:rPr>
        <w:t>Arcuentu</w:t>
      </w:r>
      <w:proofErr w:type="spellEnd"/>
      <w:r w:rsidR="00092518" w:rsidRPr="00634BAA">
        <w:rPr>
          <w:rFonts w:ascii="Calibri" w:hAnsi="Calibri" w:cs="Calibri"/>
          <w:sz w:val="24"/>
          <w:szCs w:val="24"/>
        </w:rPr>
        <w:t xml:space="preserve"> rocks have Zn/Fe ratios up to 18. However, these higher values, at low </w:t>
      </w:r>
      <w:proofErr w:type="spellStart"/>
      <w:r w:rsidR="00092518" w:rsidRPr="00634BAA">
        <w:rPr>
          <w:rFonts w:ascii="Calibri" w:hAnsi="Calibri" w:cs="Calibri"/>
          <w:sz w:val="24"/>
          <w:szCs w:val="24"/>
        </w:rPr>
        <w:t>MgO</w:t>
      </w:r>
      <w:proofErr w:type="spellEnd"/>
      <w:r w:rsidR="00092518" w:rsidRPr="00634BAA">
        <w:rPr>
          <w:rFonts w:ascii="Calibri" w:hAnsi="Calibri" w:cs="Calibri"/>
          <w:sz w:val="24"/>
          <w:szCs w:val="24"/>
        </w:rPr>
        <w:t>, may simply be the product of clinopyroxene fractionation (</w:t>
      </w:r>
      <w:proofErr w:type="spellStart"/>
      <w:r w:rsidR="00092518" w:rsidRPr="00634BAA">
        <w:rPr>
          <w:rFonts w:ascii="Calibri" w:hAnsi="Calibri" w:cs="Calibri"/>
          <w:sz w:val="24"/>
          <w:szCs w:val="24"/>
        </w:rPr>
        <w:t>Sheldrick</w:t>
      </w:r>
      <w:proofErr w:type="spellEnd"/>
      <w:r w:rsidR="00092518" w:rsidRPr="00634BAA">
        <w:rPr>
          <w:rFonts w:ascii="Calibri" w:hAnsi="Calibri" w:cs="Calibri"/>
          <w:sz w:val="24"/>
          <w:szCs w:val="24"/>
        </w:rPr>
        <w:t xml:space="preserve"> et al., 2017).</w:t>
      </w:r>
    </w:p>
    <w:p w14:paraId="70CFD7A6" w14:textId="17A0CF8A" w:rsidR="00092518" w:rsidRPr="00634BAA" w:rsidRDefault="00092518" w:rsidP="00092518">
      <w:pPr>
        <w:autoSpaceDE w:val="0"/>
        <w:autoSpaceDN w:val="0"/>
        <w:adjustRightInd w:val="0"/>
        <w:spacing w:after="60" w:line="264" w:lineRule="auto"/>
        <w:ind w:firstLine="720"/>
        <w:rPr>
          <w:rFonts w:ascii="Calibri" w:hAnsi="Calibri" w:cs="Calibri"/>
          <w:sz w:val="24"/>
          <w:szCs w:val="24"/>
          <w:lang w:eastAsia="it-IT"/>
        </w:rPr>
      </w:pPr>
      <w:r w:rsidRPr="00634BAA">
        <w:rPr>
          <w:rFonts w:ascii="Calibri" w:hAnsi="Calibri" w:cs="Calibri"/>
          <w:sz w:val="24"/>
          <w:szCs w:val="24"/>
        </w:rPr>
        <w:t xml:space="preserve">A potentially more robust approach for distinguishing pyroxenitic vs. </w:t>
      </w:r>
      <w:proofErr w:type="spellStart"/>
      <w:r w:rsidRPr="00634BAA">
        <w:rPr>
          <w:rFonts w:ascii="Calibri" w:hAnsi="Calibri" w:cs="Calibri"/>
          <w:sz w:val="24"/>
          <w:szCs w:val="24"/>
        </w:rPr>
        <w:t>peridotitic</w:t>
      </w:r>
      <w:proofErr w:type="spellEnd"/>
      <w:r w:rsidRPr="00634BAA">
        <w:rPr>
          <w:rFonts w:ascii="Calibri" w:hAnsi="Calibri" w:cs="Calibri"/>
          <w:sz w:val="24"/>
          <w:szCs w:val="24"/>
        </w:rPr>
        <w:t xml:space="preserve"> sources, based on key major elements, has been proposed by Yang and Zhou (2013). These authors show that melts derived from a pyroxenitic source have high FC3MS values greater than 0.5, where FC3MS = (</w:t>
      </w:r>
      <w:proofErr w:type="spellStart"/>
      <w:r w:rsidRPr="00634BAA">
        <w:rPr>
          <w:rFonts w:ascii="Calibri" w:hAnsi="Calibri" w:cs="Calibri"/>
          <w:sz w:val="24"/>
          <w:szCs w:val="24"/>
        </w:rPr>
        <w:t>FeO</w:t>
      </w:r>
      <w:r w:rsidRPr="00634BAA">
        <w:rPr>
          <w:rFonts w:ascii="Calibri" w:hAnsi="Calibri" w:cs="Calibri"/>
          <w:sz w:val="24"/>
          <w:szCs w:val="24"/>
          <w:vertAlign w:val="subscript"/>
        </w:rPr>
        <w:t>T</w:t>
      </w:r>
      <w:proofErr w:type="spellEnd"/>
      <w:r w:rsidRPr="00634BAA">
        <w:rPr>
          <w:rFonts w:ascii="Calibri" w:hAnsi="Calibri" w:cs="Calibri"/>
          <w:sz w:val="24"/>
          <w:szCs w:val="24"/>
        </w:rPr>
        <w:t>/</w:t>
      </w:r>
      <w:proofErr w:type="spellStart"/>
      <w:r w:rsidRPr="00634BAA">
        <w:rPr>
          <w:rFonts w:ascii="Calibri" w:hAnsi="Calibri" w:cs="Calibri"/>
          <w:sz w:val="24"/>
          <w:szCs w:val="24"/>
        </w:rPr>
        <w:t>CaO</w:t>
      </w:r>
      <w:proofErr w:type="spellEnd"/>
      <w:r w:rsidRPr="00634BAA">
        <w:rPr>
          <w:rFonts w:ascii="Calibri" w:hAnsi="Calibri" w:cs="Calibri"/>
          <w:sz w:val="24"/>
          <w:szCs w:val="24"/>
        </w:rPr>
        <w:t xml:space="preserve"> - 3*</w:t>
      </w:r>
      <w:proofErr w:type="spellStart"/>
      <w:r w:rsidRPr="00634BAA">
        <w:rPr>
          <w:rFonts w:ascii="Calibri" w:hAnsi="Calibri" w:cs="Calibri"/>
          <w:sz w:val="24"/>
          <w:szCs w:val="24"/>
        </w:rPr>
        <w:t>MgO</w:t>
      </w:r>
      <w:proofErr w:type="spellEnd"/>
      <w:r w:rsidRPr="00634BAA">
        <w:rPr>
          <w:rFonts w:ascii="Calibri" w:hAnsi="Calibri" w:cs="Calibri"/>
          <w:sz w:val="24"/>
          <w:szCs w:val="24"/>
        </w:rPr>
        <w:t>/SiO</w:t>
      </w:r>
      <w:r w:rsidRPr="00634BAA">
        <w:rPr>
          <w:rFonts w:ascii="Calibri" w:hAnsi="Calibri" w:cs="Calibri"/>
          <w:sz w:val="24"/>
          <w:szCs w:val="24"/>
          <w:vertAlign w:val="subscript"/>
        </w:rPr>
        <w:t>2</w:t>
      </w:r>
      <w:r w:rsidRPr="00634BAA">
        <w:rPr>
          <w:rFonts w:ascii="Calibri" w:hAnsi="Calibri" w:cs="Calibri"/>
          <w:sz w:val="24"/>
          <w:szCs w:val="24"/>
        </w:rPr>
        <w:t>). M</w:t>
      </w:r>
      <w:r w:rsidRPr="00634BAA">
        <w:rPr>
          <w:rFonts w:ascii="Calibri" w:hAnsi="Calibri" w:cs="Calibri"/>
          <w:sz w:val="24"/>
          <w:szCs w:val="24"/>
          <w:lang w:eastAsia="it-IT"/>
        </w:rPr>
        <w:t xml:space="preserve">elts derived from peridotite are typically lower than 0.5, with 0.65 believed to be a maximum for melts derived from peridotite mantle. </w:t>
      </w:r>
      <w:r w:rsidRPr="00634BAA">
        <w:rPr>
          <w:rFonts w:ascii="Calibri" w:hAnsi="Calibri" w:cs="Calibri"/>
          <w:sz w:val="24"/>
          <w:szCs w:val="24"/>
        </w:rPr>
        <w:t>Values lower than 0.5 are possible for pyroxenitic melts, where degrees of melting are large, e.g., 30% or greater</w:t>
      </w:r>
      <w:r w:rsidRPr="00634BAA">
        <w:rPr>
          <w:rFonts w:ascii="Calibri" w:hAnsi="Calibri" w:cs="Calibri"/>
          <w:sz w:val="24"/>
          <w:szCs w:val="24"/>
          <w:lang w:eastAsia="it-IT"/>
        </w:rPr>
        <w:t xml:space="preserve">. </w:t>
      </w:r>
    </w:p>
    <w:p w14:paraId="7090E181" w14:textId="78D2D636" w:rsidR="00092518" w:rsidRPr="00634BAA" w:rsidRDefault="00092518" w:rsidP="00092518">
      <w:pPr>
        <w:autoSpaceDE w:val="0"/>
        <w:autoSpaceDN w:val="0"/>
        <w:adjustRightInd w:val="0"/>
        <w:spacing w:after="60" w:line="264" w:lineRule="auto"/>
        <w:ind w:firstLine="720"/>
        <w:rPr>
          <w:rFonts w:ascii="Calibri" w:hAnsi="Calibri" w:cs="Calibri"/>
          <w:b/>
          <w:i/>
          <w:color w:val="000000"/>
          <w:sz w:val="24"/>
          <w:szCs w:val="24"/>
        </w:rPr>
      </w:pPr>
      <w:r w:rsidRPr="00634BAA">
        <w:rPr>
          <w:rFonts w:ascii="Calibri" w:hAnsi="Calibri" w:cs="Calibri"/>
          <w:sz w:val="24"/>
          <w:szCs w:val="24"/>
          <w:lang w:eastAsia="it-IT"/>
        </w:rPr>
        <w:t xml:space="preserve">FC3MS values for the most primitive </w:t>
      </w:r>
      <w:proofErr w:type="spellStart"/>
      <w:r w:rsidRPr="00634BAA">
        <w:rPr>
          <w:rFonts w:ascii="Calibri" w:hAnsi="Calibri" w:cs="Calibri"/>
          <w:sz w:val="24"/>
          <w:szCs w:val="24"/>
          <w:lang w:eastAsia="it-IT"/>
        </w:rPr>
        <w:t>Arcuentu</w:t>
      </w:r>
      <w:proofErr w:type="spellEnd"/>
      <w:r w:rsidRPr="00634BAA">
        <w:rPr>
          <w:rFonts w:ascii="Calibri" w:hAnsi="Calibri" w:cs="Calibri"/>
          <w:sz w:val="24"/>
          <w:szCs w:val="24"/>
          <w:lang w:eastAsia="it-IT"/>
        </w:rPr>
        <w:t xml:space="preserve"> rocks are all less than 0.5 and plot within the peridotite field</w:t>
      </w:r>
      <w:r w:rsidR="00BE3F2D">
        <w:rPr>
          <w:rFonts w:ascii="Calibri" w:hAnsi="Calibri" w:cs="Calibri"/>
          <w:sz w:val="24"/>
          <w:szCs w:val="24"/>
          <w:lang w:eastAsia="it-IT"/>
        </w:rPr>
        <w:t xml:space="preserve"> (Fig. S</w:t>
      </w:r>
      <w:r w:rsidR="009070CA">
        <w:rPr>
          <w:rFonts w:ascii="Calibri" w:hAnsi="Calibri" w:cs="Calibri"/>
          <w:sz w:val="24"/>
          <w:szCs w:val="24"/>
          <w:lang w:eastAsia="it-IT"/>
        </w:rPr>
        <w:t>4</w:t>
      </w:r>
      <w:r w:rsidR="00BE3F2D">
        <w:rPr>
          <w:rFonts w:ascii="Calibri" w:hAnsi="Calibri" w:cs="Calibri"/>
          <w:sz w:val="24"/>
          <w:szCs w:val="24"/>
          <w:lang w:eastAsia="it-IT"/>
        </w:rPr>
        <w:t>B)</w:t>
      </w:r>
      <w:r w:rsidRPr="00634BAA">
        <w:rPr>
          <w:rFonts w:ascii="Calibri" w:hAnsi="Calibri" w:cs="Calibri"/>
          <w:sz w:val="24"/>
          <w:szCs w:val="24"/>
          <w:lang w:eastAsia="it-IT"/>
        </w:rPr>
        <w:t xml:space="preserve">. More evolved compositions trend to higher values (up to 0.8), but this is consistent with fractionation of olivine and clinopyroxene. Therefore, although an unambiguous method for distinguishing pyroxenitic components in a sub-arc mantle has yet to be identified (Yang et al., 2016), the analysis above strongly suggests that a heterogeneous, pyroxenite-rich source is not the main source of compositional heterogeneity within the </w:t>
      </w:r>
      <w:proofErr w:type="spellStart"/>
      <w:r w:rsidRPr="00634BAA">
        <w:rPr>
          <w:rFonts w:ascii="Calibri" w:hAnsi="Calibri" w:cs="Calibri"/>
          <w:sz w:val="24"/>
          <w:szCs w:val="24"/>
          <w:lang w:eastAsia="it-IT"/>
        </w:rPr>
        <w:t>Arcuentu</w:t>
      </w:r>
      <w:proofErr w:type="spellEnd"/>
      <w:r w:rsidRPr="00634BAA">
        <w:rPr>
          <w:rFonts w:ascii="Calibri" w:hAnsi="Calibri" w:cs="Calibri"/>
          <w:sz w:val="24"/>
          <w:szCs w:val="24"/>
          <w:lang w:eastAsia="it-IT"/>
        </w:rPr>
        <w:t xml:space="preserve"> volcanic suite.</w:t>
      </w:r>
      <w:r w:rsidR="004D3BF2" w:rsidRPr="004D3BF2">
        <w:rPr>
          <w:rFonts w:ascii="Calibri" w:hAnsi="Calibri" w:cs="Calibri"/>
          <w:b/>
          <w:noProof/>
          <w:color w:val="000000"/>
          <w:sz w:val="24"/>
          <w:szCs w:val="24"/>
        </w:rPr>
        <w:t xml:space="preserve"> </w:t>
      </w:r>
    </w:p>
    <w:bookmarkEnd w:id="0"/>
    <w:p w14:paraId="09C2F37F" w14:textId="0B44CB3A" w:rsidR="004D3BF2" w:rsidRDefault="004D3BF2" w:rsidP="00634BA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601DB62F" wp14:editId="145B9F00">
            <wp:simplePos x="0" y="0"/>
            <wp:positionH relativeFrom="column">
              <wp:posOffset>115204</wp:posOffset>
            </wp:positionH>
            <wp:positionV relativeFrom="paragraph">
              <wp:posOffset>112503</wp:posOffset>
            </wp:positionV>
            <wp:extent cx="4069080" cy="2828290"/>
            <wp:effectExtent l="0" t="0" r="762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S3B FC3M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912BCE" w14:textId="38896DC4" w:rsidR="00634BAA" w:rsidRDefault="00634BAA" w:rsidP="00634BA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3206C9A8" w14:textId="0D9EF1FB" w:rsidR="004D3BF2" w:rsidRDefault="004D3BF2" w:rsidP="00634BAA">
      <w:pPr>
        <w:pStyle w:val="ReferenceHead"/>
        <w:spacing w:line="264" w:lineRule="auto"/>
        <w:ind w:left="720" w:hanging="720"/>
        <w:jc w:val="both"/>
        <w:rPr>
          <w:rFonts w:ascii="Calibri" w:hAnsi="Calibri" w:cs="Calibri"/>
          <w:b w:val="0"/>
          <w:sz w:val="22"/>
          <w:szCs w:val="22"/>
        </w:rPr>
      </w:pPr>
      <w:r>
        <w:rPr>
          <w:rFonts w:ascii="Calibri" w:hAnsi="Calibri" w:cs="Calibri"/>
          <w:b w:val="0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CA6D0F" wp14:editId="4F23BD1D">
                <wp:simplePos x="0" y="0"/>
                <wp:positionH relativeFrom="column">
                  <wp:posOffset>4300220</wp:posOffset>
                </wp:positionH>
                <wp:positionV relativeFrom="paragraph">
                  <wp:posOffset>226060</wp:posOffset>
                </wp:positionV>
                <wp:extent cx="1386840" cy="2409825"/>
                <wp:effectExtent l="0" t="0" r="3810" b="952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240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A58834" w14:textId="42ADCC46" w:rsidR="008E1CD8" w:rsidRPr="008E1CD8" w:rsidRDefault="008E1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E1CD8">
                              <w:rPr>
                                <w:rFonts w:ascii="Calibri" w:hAnsi="Calibri" w:cs="Calibri"/>
                                <w:b/>
                                <w:color w:val="000000"/>
                                <w:sz w:val="18"/>
                                <w:szCs w:val="18"/>
                              </w:rPr>
                              <w:t>Figure S</w:t>
                            </w:r>
                            <w:r w:rsidR="009070CA">
                              <w:rPr>
                                <w:rFonts w:ascii="Calibri" w:hAnsi="Calibri" w:cs="Calibri"/>
                                <w:b/>
                                <w:color w:val="000000"/>
                                <w:sz w:val="18"/>
                                <w:szCs w:val="18"/>
                              </w:rPr>
                              <w:t>4</w:t>
                            </w:r>
                            <w:r w:rsidR="00BE3F2D">
                              <w:rPr>
                                <w:rFonts w:ascii="Calibri" w:hAnsi="Calibri" w:cs="Calibri"/>
                                <w:b/>
                                <w:color w:val="000000"/>
                                <w:sz w:val="18"/>
                                <w:szCs w:val="18"/>
                              </w:rPr>
                              <w:t>B</w:t>
                            </w:r>
                            <w:r w:rsidRPr="008E1CD8">
                              <w:rPr>
                                <w:rFonts w:ascii="Calibri" w:hAnsi="Calibri" w:cs="Calibri"/>
                                <w:b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 w:rsidRPr="008E1CD8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 xml:space="preserve">  FC3MS vs </w:t>
                            </w:r>
                            <w:proofErr w:type="spellStart"/>
                            <w:r w:rsidRPr="008E1CD8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MgO</w:t>
                            </w:r>
                            <w:proofErr w:type="spellEnd"/>
                            <w:r w:rsidRPr="008E1CD8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 xml:space="preserve">.  Fields for peridotite and pyroxenite melts from Yang et al. (2016). Arrows indicating clinopyroxene and olivine fractionation or accumulation also from Yang et al. (2016).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A6D0F" id="Text Box 8" o:spid="_x0000_s1027" type="#_x0000_t202" style="position:absolute;left:0;text-align:left;margin-left:338.6pt;margin-top:17.8pt;width:109.2pt;height:18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" fillcolor="white [3201]" stroked="f" strokeweight=".5pt">
                <v:textbox>
                  <w:txbxContent>
                    <w:p w14:paraId="39A58834" w14:textId="42ADCC46" w:rsidR="008E1CD8" w:rsidRPr="008E1CD8" w:rsidRDefault="008E1CD8">
                      <w:pPr>
                        <w:rPr>
                          <w:sz w:val="18"/>
                          <w:szCs w:val="18"/>
                        </w:rPr>
                      </w:pPr>
                      <w:r w:rsidRPr="008E1CD8">
                        <w:rPr>
                          <w:rFonts w:ascii="Calibri" w:hAnsi="Calibri" w:cs="Calibri"/>
                          <w:b/>
                          <w:color w:val="000000"/>
                          <w:sz w:val="18"/>
                          <w:szCs w:val="18"/>
                        </w:rPr>
                        <w:t>Figure S</w:t>
                      </w:r>
                      <w:r w:rsidR="009070CA">
                        <w:rPr>
                          <w:rFonts w:ascii="Calibri" w:hAnsi="Calibri" w:cs="Calibri"/>
                          <w:b/>
                          <w:color w:val="000000"/>
                          <w:sz w:val="18"/>
                          <w:szCs w:val="18"/>
                        </w:rPr>
                        <w:t>4</w:t>
                      </w:r>
                      <w:r w:rsidR="00BE3F2D">
                        <w:rPr>
                          <w:rFonts w:ascii="Calibri" w:hAnsi="Calibri" w:cs="Calibri"/>
                          <w:b/>
                          <w:color w:val="000000"/>
                          <w:sz w:val="18"/>
                          <w:szCs w:val="18"/>
                        </w:rPr>
                        <w:t>B</w:t>
                      </w:r>
                      <w:r w:rsidRPr="008E1CD8">
                        <w:rPr>
                          <w:rFonts w:ascii="Calibri" w:hAnsi="Calibri" w:cs="Calibri"/>
                          <w:b/>
                          <w:color w:val="000000"/>
                          <w:sz w:val="18"/>
                          <w:szCs w:val="18"/>
                        </w:rPr>
                        <w:t>.</w:t>
                      </w:r>
                      <w:r w:rsidRPr="008E1CD8"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 xml:space="preserve">  FC3MS vs </w:t>
                      </w:r>
                      <w:proofErr w:type="spellStart"/>
                      <w:r w:rsidRPr="008E1CD8"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MgO</w:t>
                      </w:r>
                      <w:proofErr w:type="spellEnd"/>
                      <w:r w:rsidRPr="008E1CD8"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 xml:space="preserve">.  Fields for peridotite and pyroxenite melts from Yang et al. (2016). Arrows indicating clinopyroxene and olivine fractionation or accumulation also from Yang et al. (2016).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9B3BAF" w14:textId="798F10A5" w:rsidR="004D3BF2" w:rsidRDefault="004D3BF2" w:rsidP="00634BAA">
      <w:pPr>
        <w:pStyle w:val="ReferenceHead"/>
        <w:spacing w:line="264" w:lineRule="auto"/>
        <w:ind w:left="720" w:hanging="720"/>
        <w:jc w:val="both"/>
        <w:rPr>
          <w:rFonts w:ascii="Calibri" w:hAnsi="Calibri" w:cs="Calibri"/>
          <w:b w:val="0"/>
          <w:sz w:val="22"/>
          <w:szCs w:val="22"/>
        </w:rPr>
      </w:pPr>
    </w:p>
    <w:p w14:paraId="57F206A7" w14:textId="3118D8CE" w:rsidR="00634BAA" w:rsidRPr="008E1CD8" w:rsidRDefault="00634BAA" w:rsidP="00634BAA">
      <w:pPr>
        <w:pStyle w:val="ReferenceHead"/>
        <w:spacing w:line="264" w:lineRule="auto"/>
        <w:ind w:left="720" w:hanging="720"/>
        <w:jc w:val="both"/>
        <w:rPr>
          <w:rFonts w:ascii="Calibri" w:hAnsi="Calibri" w:cs="Calibri"/>
          <w:b w:val="0"/>
          <w:sz w:val="22"/>
          <w:szCs w:val="22"/>
          <w:lang w:eastAsia="it-IT"/>
        </w:rPr>
      </w:pPr>
      <w:r w:rsidRPr="008E1CD8">
        <w:rPr>
          <w:rFonts w:ascii="Calibri" w:hAnsi="Calibri" w:cs="Calibri"/>
          <w:b w:val="0"/>
          <w:sz w:val="22"/>
          <w:szCs w:val="22"/>
        </w:rPr>
        <w:t xml:space="preserve">Le Roux, </w:t>
      </w:r>
      <w:r w:rsidRPr="008E1CD8">
        <w:rPr>
          <w:rFonts w:ascii="Calibri" w:hAnsi="Calibri" w:cs="Calibri"/>
          <w:b w:val="0"/>
          <w:sz w:val="22"/>
          <w:szCs w:val="22"/>
          <w:lang w:eastAsia="it-IT"/>
        </w:rPr>
        <w:t xml:space="preserve">V., Lee, C.-T.A., Turner, S.J., 2010, Zn/Fe systematics in mafic and ultramafic systems: Implications for detecting major element heterogeneities in the Earth’s mantle: </w:t>
      </w:r>
      <w:proofErr w:type="spellStart"/>
      <w:r w:rsidRPr="008E1CD8">
        <w:rPr>
          <w:rFonts w:ascii="Calibri" w:hAnsi="Calibri" w:cs="Calibri"/>
          <w:b w:val="0"/>
          <w:sz w:val="22"/>
          <w:szCs w:val="22"/>
          <w:lang w:eastAsia="it-IT"/>
        </w:rPr>
        <w:t>Geochimica</w:t>
      </w:r>
      <w:proofErr w:type="spellEnd"/>
      <w:r w:rsidRPr="008E1CD8">
        <w:rPr>
          <w:rFonts w:ascii="Calibri" w:hAnsi="Calibri" w:cs="Calibri"/>
          <w:b w:val="0"/>
          <w:sz w:val="22"/>
          <w:szCs w:val="22"/>
          <w:lang w:eastAsia="it-IT"/>
        </w:rPr>
        <w:t xml:space="preserve"> et </w:t>
      </w:r>
      <w:proofErr w:type="spellStart"/>
      <w:r w:rsidRPr="008E1CD8">
        <w:rPr>
          <w:rFonts w:ascii="Calibri" w:hAnsi="Calibri" w:cs="Calibri"/>
          <w:b w:val="0"/>
          <w:sz w:val="22"/>
          <w:szCs w:val="22"/>
          <w:lang w:eastAsia="it-IT"/>
        </w:rPr>
        <w:t>Cosmochimica</w:t>
      </w:r>
      <w:proofErr w:type="spellEnd"/>
      <w:r w:rsidRPr="008E1CD8">
        <w:rPr>
          <w:rFonts w:ascii="Calibri" w:hAnsi="Calibri" w:cs="Calibri"/>
          <w:b w:val="0"/>
          <w:sz w:val="22"/>
          <w:szCs w:val="22"/>
          <w:lang w:eastAsia="it-IT"/>
        </w:rPr>
        <w:t xml:space="preserve"> Acta, v. 74, p. 2779–2796. </w:t>
      </w:r>
    </w:p>
    <w:p w14:paraId="60BF6126" w14:textId="441EC8AC" w:rsidR="00634BAA" w:rsidRPr="008E1CD8" w:rsidRDefault="00634BAA" w:rsidP="00634BAA">
      <w:pPr>
        <w:pStyle w:val="ReferenceHead"/>
        <w:spacing w:line="264" w:lineRule="auto"/>
        <w:ind w:left="720" w:hanging="720"/>
        <w:jc w:val="both"/>
        <w:rPr>
          <w:rFonts w:ascii="Calibri" w:hAnsi="Calibri" w:cs="Calibri"/>
          <w:b w:val="0"/>
          <w:sz w:val="22"/>
          <w:szCs w:val="22"/>
        </w:rPr>
      </w:pPr>
      <w:proofErr w:type="spellStart"/>
      <w:r w:rsidRPr="008E1CD8">
        <w:rPr>
          <w:rFonts w:ascii="Calibri" w:hAnsi="Calibri" w:cs="Calibri"/>
          <w:b w:val="0"/>
          <w:sz w:val="22"/>
          <w:szCs w:val="22"/>
        </w:rPr>
        <w:t>Sheldrick</w:t>
      </w:r>
      <w:proofErr w:type="spellEnd"/>
      <w:r w:rsidRPr="008E1CD8">
        <w:rPr>
          <w:rFonts w:ascii="Calibri" w:hAnsi="Calibri" w:cs="Calibri"/>
          <w:b w:val="0"/>
          <w:sz w:val="22"/>
          <w:szCs w:val="22"/>
        </w:rPr>
        <w:t xml:space="preserve">, T.C., Barry, T.L., Van Hinsbergen, J.J., Kempton, P.D., 2017, </w:t>
      </w:r>
      <w:r w:rsidRPr="008E1CD8">
        <w:rPr>
          <w:rFonts w:ascii="Calibri" w:hAnsi="Calibri" w:cs="Calibri"/>
          <w:b w:val="0"/>
          <w:color w:val="000000" w:themeColor="text1"/>
          <w:sz w:val="22"/>
          <w:szCs w:val="22"/>
        </w:rPr>
        <w:t xml:space="preserve">Constraining lithospheric removal and </w:t>
      </w:r>
      <w:proofErr w:type="spellStart"/>
      <w:r w:rsidRPr="008E1CD8">
        <w:rPr>
          <w:rFonts w:ascii="Calibri" w:hAnsi="Calibri" w:cs="Calibri"/>
          <w:b w:val="0"/>
          <w:color w:val="000000" w:themeColor="text1"/>
          <w:sz w:val="22"/>
          <w:szCs w:val="22"/>
        </w:rPr>
        <w:t>asthenospheric</w:t>
      </w:r>
      <w:proofErr w:type="spellEnd"/>
      <w:r w:rsidRPr="008E1CD8">
        <w:rPr>
          <w:rFonts w:ascii="Calibri" w:hAnsi="Calibri" w:cs="Calibri"/>
          <w:b w:val="0"/>
          <w:color w:val="000000" w:themeColor="text1"/>
          <w:sz w:val="22"/>
          <w:szCs w:val="22"/>
        </w:rPr>
        <w:t xml:space="preserve"> input to melts in Central Asia: a geochemical study of Triassic to Cretaceous magmatic rocks in the Gobi Altai (Mongolia):  </w:t>
      </w:r>
      <w:proofErr w:type="spellStart"/>
      <w:r w:rsidRPr="008E1CD8">
        <w:rPr>
          <w:rFonts w:ascii="Calibri" w:hAnsi="Calibri" w:cs="Calibri"/>
          <w:b w:val="0"/>
          <w:color w:val="000000" w:themeColor="text1"/>
          <w:sz w:val="22"/>
          <w:szCs w:val="22"/>
        </w:rPr>
        <w:t>Lithos</w:t>
      </w:r>
      <w:proofErr w:type="spellEnd"/>
      <w:r w:rsidRPr="008E1CD8">
        <w:rPr>
          <w:rFonts w:ascii="Calibri" w:hAnsi="Calibri" w:cs="Calibri"/>
          <w:b w:val="0"/>
          <w:color w:val="000000" w:themeColor="text1"/>
          <w:sz w:val="22"/>
          <w:szCs w:val="22"/>
        </w:rPr>
        <w:t xml:space="preserve">, </w:t>
      </w:r>
      <w:r w:rsidRPr="008E1CD8">
        <w:rPr>
          <w:rFonts w:ascii="Calibri" w:hAnsi="Calibri" w:cs="Calibri"/>
          <w:b w:val="0"/>
          <w:sz w:val="22"/>
          <w:szCs w:val="22"/>
          <w:lang w:eastAsia="it-IT"/>
        </w:rPr>
        <w:t>https://doi.org/10.1016/j.lithos.2017.11.016</w:t>
      </w:r>
      <w:r w:rsidRPr="008E1CD8">
        <w:rPr>
          <w:rFonts w:ascii="Calibri" w:hAnsi="Calibri" w:cs="Calibri"/>
          <w:b w:val="0"/>
          <w:color w:val="000000" w:themeColor="text1"/>
          <w:sz w:val="22"/>
          <w:szCs w:val="22"/>
        </w:rPr>
        <w:t xml:space="preserve"> (in press).</w:t>
      </w:r>
    </w:p>
    <w:p w14:paraId="1FB35310" w14:textId="288DE64B" w:rsidR="00634BAA" w:rsidRPr="008E1CD8" w:rsidRDefault="00634BAA" w:rsidP="00634BAA">
      <w:pPr>
        <w:pStyle w:val="ReferenceHead"/>
        <w:spacing w:line="264" w:lineRule="auto"/>
        <w:ind w:left="720" w:hanging="720"/>
        <w:jc w:val="both"/>
        <w:rPr>
          <w:rFonts w:ascii="Calibri" w:hAnsi="Calibri" w:cs="Calibri"/>
          <w:b w:val="0"/>
          <w:sz w:val="22"/>
          <w:szCs w:val="22"/>
          <w:lang w:val="it-IT"/>
        </w:rPr>
      </w:pPr>
      <w:r w:rsidRPr="008E1CD8">
        <w:rPr>
          <w:rFonts w:ascii="Calibri" w:hAnsi="Calibri" w:cs="Calibri"/>
          <w:b w:val="0"/>
          <w:color w:val="222222"/>
          <w:sz w:val="22"/>
          <w:szCs w:val="22"/>
          <w:shd w:val="clear" w:color="auto" w:fill="FFFFFF"/>
        </w:rPr>
        <w:t xml:space="preserve">Yang, Z.F. and Zhou, J.H., 2013, Can we identify source lithology of basalt? </w:t>
      </w:r>
      <w:r w:rsidRPr="008E1CD8">
        <w:rPr>
          <w:rFonts w:ascii="Calibri" w:hAnsi="Calibri" w:cs="Calibri"/>
          <w:b w:val="0"/>
          <w:i/>
          <w:iCs/>
          <w:color w:val="222222"/>
          <w:sz w:val="22"/>
          <w:szCs w:val="22"/>
          <w:shd w:val="clear" w:color="auto" w:fill="FFFFFF"/>
        </w:rPr>
        <w:t>Scientific reports</w:t>
      </w:r>
      <w:r w:rsidRPr="008E1CD8">
        <w:rPr>
          <w:rFonts w:ascii="Calibri" w:hAnsi="Calibri" w:cs="Calibri"/>
          <w:b w:val="0"/>
          <w:color w:val="222222"/>
          <w:sz w:val="22"/>
          <w:szCs w:val="22"/>
          <w:shd w:val="clear" w:color="auto" w:fill="FFFFFF"/>
        </w:rPr>
        <w:t xml:space="preserve">, v. </w:t>
      </w:r>
      <w:r w:rsidRPr="008E1CD8">
        <w:rPr>
          <w:rFonts w:ascii="Calibri" w:hAnsi="Calibri" w:cs="Calibri"/>
          <w:b w:val="0"/>
          <w:i/>
          <w:iCs/>
          <w:color w:val="222222"/>
          <w:sz w:val="22"/>
          <w:szCs w:val="22"/>
          <w:shd w:val="clear" w:color="auto" w:fill="FFFFFF"/>
        </w:rPr>
        <w:t>3</w:t>
      </w:r>
      <w:r w:rsidRPr="008E1CD8">
        <w:rPr>
          <w:rFonts w:ascii="Calibri" w:hAnsi="Calibri" w:cs="Calibri"/>
          <w:b w:val="0"/>
          <w:sz w:val="22"/>
          <w:szCs w:val="22"/>
          <w:lang w:eastAsia="it-IT"/>
        </w:rPr>
        <w:t>, 1856; DOI:10.1038/srep01856.</w:t>
      </w:r>
    </w:p>
    <w:p w14:paraId="3D8648AE" w14:textId="3C63892D" w:rsidR="00634BAA" w:rsidRPr="008E1CD8" w:rsidRDefault="00634BAA" w:rsidP="00634BAA">
      <w:pPr>
        <w:pStyle w:val="ReferenceHead"/>
        <w:spacing w:line="264" w:lineRule="auto"/>
        <w:ind w:left="720" w:hanging="720"/>
        <w:jc w:val="both"/>
        <w:rPr>
          <w:rFonts w:ascii="Calibri" w:hAnsi="Calibri" w:cs="Calibri"/>
          <w:b w:val="0"/>
          <w:sz w:val="22"/>
          <w:szCs w:val="22"/>
          <w:lang w:val="it-IT"/>
        </w:rPr>
      </w:pPr>
      <w:r w:rsidRPr="008E1CD8">
        <w:rPr>
          <w:rFonts w:ascii="Calibri" w:hAnsi="Calibri" w:cs="Calibri"/>
          <w:b w:val="0"/>
          <w:color w:val="222222"/>
          <w:sz w:val="22"/>
          <w:szCs w:val="22"/>
          <w:shd w:val="clear" w:color="auto" w:fill="FFFFFF"/>
        </w:rPr>
        <w:t xml:space="preserve">Yang, Z.F., Li, J., Liang, W.F. and Luo, Z.H., 2016, On the chemical markers of pyroxenite contributions in continental basalts in Eastern China: Implications for source lithology and the origin of basalts: </w:t>
      </w:r>
      <w:r w:rsidRPr="008E1CD8">
        <w:rPr>
          <w:rFonts w:ascii="Calibri" w:hAnsi="Calibri" w:cs="Calibri"/>
          <w:b w:val="0"/>
          <w:iCs/>
          <w:color w:val="222222"/>
          <w:sz w:val="22"/>
          <w:szCs w:val="22"/>
          <w:shd w:val="clear" w:color="auto" w:fill="FFFFFF"/>
        </w:rPr>
        <w:t>Earth-Science Reviews</w:t>
      </w:r>
      <w:r w:rsidRPr="008E1CD8">
        <w:rPr>
          <w:rFonts w:ascii="Calibri" w:hAnsi="Calibri" w:cs="Calibri"/>
          <w:b w:val="0"/>
          <w:color w:val="222222"/>
          <w:sz w:val="22"/>
          <w:szCs w:val="22"/>
          <w:shd w:val="clear" w:color="auto" w:fill="FFFFFF"/>
        </w:rPr>
        <w:t xml:space="preserve">, v. </w:t>
      </w:r>
      <w:r w:rsidRPr="008E1CD8">
        <w:rPr>
          <w:rFonts w:ascii="Calibri" w:hAnsi="Calibri" w:cs="Calibri"/>
          <w:b w:val="0"/>
          <w:iCs/>
          <w:color w:val="222222"/>
          <w:sz w:val="22"/>
          <w:szCs w:val="22"/>
          <w:shd w:val="clear" w:color="auto" w:fill="FFFFFF"/>
        </w:rPr>
        <w:t>157</w:t>
      </w:r>
      <w:r w:rsidRPr="008E1CD8">
        <w:rPr>
          <w:rFonts w:ascii="Calibri" w:hAnsi="Calibri" w:cs="Calibri"/>
          <w:b w:val="0"/>
          <w:color w:val="222222"/>
          <w:sz w:val="22"/>
          <w:szCs w:val="22"/>
          <w:shd w:val="clear" w:color="auto" w:fill="FFFFFF"/>
        </w:rPr>
        <w:t>, p.18-31.</w:t>
      </w:r>
    </w:p>
    <w:p w14:paraId="21A77E18" w14:textId="030117B4" w:rsidR="00A85806" w:rsidRPr="008E1CD8" w:rsidRDefault="00A85806" w:rsidP="000B030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19D1CE9" w14:textId="77777777" w:rsidR="00A85806" w:rsidRPr="008E1CD8" w:rsidRDefault="00A85806" w:rsidP="000B030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36AE757" w14:textId="4EF6CADF" w:rsidR="00A85806" w:rsidRPr="008E1CD8" w:rsidRDefault="00A85806">
      <w:pPr>
        <w:rPr>
          <w:rFonts w:ascii="Calibri" w:hAnsi="Calibri" w:cs="Calibri"/>
          <w:color w:val="000000"/>
          <w:sz w:val="24"/>
          <w:szCs w:val="24"/>
        </w:rPr>
      </w:pPr>
      <w:r w:rsidRPr="008E1CD8">
        <w:rPr>
          <w:rFonts w:ascii="Calibri" w:hAnsi="Calibri" w:cs="Calibri"/>
          <w:color w:val="000000"/>
          <w:sz w:val="24"/>
          <w:szCs w:val="24"/>
        </w:rPr>
        <w:br w:type="page"/>
      </w:r>
    </w:p>
    <w:p w14:paraId="334C7393" w14:textId="3A3D7500" w:rsidR="00A85806" w:rsidRDefault="00A85806" w:rsidP="000B030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8E1CD8">
        <w:rPr>
          <w:rFonts w:ascii="Calibri" w:hAnsi="Calibri" w:cs="Calibri"/>
          <w:b/>
          <w:sz w:val="24"/>
          <w:szCs w:val="24"/>
        </w:rPr>
        <w:t>Figure S</w:t>
      </w:r>
      <w:r w:rsidR="009070CA">
        <w:rPr>
          <w:rFonts w:ascii="Calibri" w:hAnsi="Calibri" w:cs="Calibri"/>
          <w:b/>
          <w:sz w:val="24"/>
          <w:szCs w:val="24"/>
        </w:rPr>
        <w:t>5</w:t>
      </w:r>
      <w:r w:rsidRPr="008E1CD8">
        <w:rPr>
          <w:rFonts w:ascii="Calibri" w:hAnsi="Calibri" w:cs="Calibri"/>
          <w:b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 </w:t>
      </w:r>
      <w:r w:rsidR="00C0460F">
        <w:rPr>
          <w:rFonts w:ascii="Calibri" w:hAnsi="Calibri" w:cs="Calibri"/>
        </w:rPr>
        <w:t>S</w:t>
      </w:r>
      <w:r w:rsidR="00C0460F" w:rsidRPr="0085441E">
        <w:rPr>
          <w:rFonts w:ascii="Calibri" w:hAnsi="Calibri" w:cs="Calibri"/>
        </w:rPr>
        <w:t xml:space="preserve">elected major and trace elements </w:t>
      </w:r>
      <w:r w:rsidR="00C0460F">
        <w:rPr>
          <w:rFonts w:ascii="Calibri" w:hAnsi="Calibri" w:cs="Calibri"/>
        </w:rPr>
        <w:t xml:space="preserve">vs </w:t>
      </w:r>
      <w:proofErr w:type="spellStart"/>
      <w:r w:rsidR="00C0460F">
        <w:rPr>
          <w:rFonts w:ascii="Calibri" w:hAnsi="Calibri" w:cs="Calibri"/>
        </w:rPr>
        <w:t>MgO</w:t>
      </w:r>
      <w:proofErr w:type="spellEnd"/>
      <w:r w:rsidR="00C0460F">
        <w:rPr>
          <w:rFonts w:ascii="Calibri" w:hAnsi="Calibri" w:cs="Calibri"/>
        </w:rPr>
        <w:t xml:space="preserve"> for </w:t>
      </w:r>
      <w:r w:rsidR="00C0460F" w:rsidRPr="0085441E">
        <w:rPr>
          <w:rFonts w:ascii="Calibri" w:hAnsi="Calibri" w:cs="Calibri"/>
        </w:rPr>
        <w:t xml:space="preserve">Monte </w:t>
      </w:r>
      <w:proofErr w:type="spellStart"/>
      <w:r w:rsidR="00C0460F" w:rsidRPr="0085441E">
        <w:rPr>
          <w:rFonts w:ascii="Calibri" w:hAnsi="Calibri" w:cs="Calibri"/>
        </w:rPr>
        <w:t>Arcuentu</w:t>
      </w:r>
      <w:proofErr w:type="spellEnd"/>
      <w:r w:rsidR="00C0460F" w:rsidRPr="0085441E">
        <w:rPr>
          <w:rFonts w:ascii="Calibri" w:hAnsi="Calibri" w:cs="Calibri"/>
        </w:rPr>
        <w:t xml:space="preserve"> and other </w:t>
      </w:r>
      <w:r w:rsidR="008E1CD8">
        <w:rPr>
          <w:rFonts w:ascii="Calibri" w:hAnsi="Calibri" w:cs="Calibri"/>
        </w:rPr>
        <w:t xml:space="preserve">Sardinia </w:t>
      </w:r>
      <w:r w:rsidR="00C0460F" w:rsidRPr="0085441E">
        <w:rPr>
          <w:rFonts w:ascii="Calibri" w:hAnsi="Calibri" w:cs="Calibri"/>
        </w:rPr>
        <w:t>SR rocks</w:t>
      </w:r>
      <w:r w:rsidR="00C0460F">
        <w:rPr>
          <w:rFonts w:ascii="Calibri" w:hAnsi="Calibri" w:cs="Calibri"/>
        </w:rPr>
        <w:t>. Data sources as in Figure</w:t>
      </w:r>
      <w:r w:rsidR="00C0460F" w:rsidRPr="0085441E">
        <w:rPr>
          <w:rFonts w:ascii="Calibri" w:hAnsi="Calibri" w:cs="Calibri"/>
        </w:rPr>
        <w:t xml:space="preserve"> 2.</w:t>
      </w:r>
    </w:p>
    <w:p w14:paraId="6D31B182" w14:textId="25C8E4AF" w:rsidR="00A85806" w:rsidRPr="000B0306" w:rsidRDefault="000D7C3A" w:rsidP="000B030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5E26F75" wp14:editId="373198BC">
            <wp:simplePos x="0" y="0"/>
            <wp:positionH relativeFrom="column">
              <wp:posOffset>-65405</wp:posOffset>
            </wp:positionH>
            <wp:positionV relativeFrom="paragraph">
              <wp:posOffset>556895</wp:posOffset>
            </wp:positionV>
            <wp:extent cx="5943600" cy="221742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S4 MgO v majors traces 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39"/>
                    <a:stretch/>
                  </pic:blipFill>
                  <pic:spPr bwMode="auto">
                    <a:xfrm>
                      <a:off x="0" y="0"/>
                      <a:ext cx="5943600" cy="221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85806" w:rsidRPr="000B0306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5525D4" w14:textId="77777777" w:rsidR="008E28BE" w:rsidRDefault="008E28BE" w:rsidP="007B342A">
      <w:pPr>
        <w:spacing w:after="0" w:line="240" w:lineRule="auto"/>
      </w:pPr>
      <w:r>
        <w:separator/>
      </w:r>
    </w:p>
  </w:endnote>
  <w:endnote w:type="continuationSeparator" w:id="0">
    <w:p w14:paraId="0136D8F7" w14:textId="77777777" w:rsidR="008E28BE" w:rsidRDefault="008E28BE" w:rsidP="007B3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vEPSTI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lwftrEuclidSymbol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75F954" w14:textId="77777777" w:rsidR="008E28BE" w:rsidRDefault="008E28BE" w:rsidP="007B342A">
      <w:pPr>
        <w:spacing w:after="0" w:line="240" w:lineRule="auto"/>
      </w:pPr>
      <w:r>
        <w:separator/>
      </w:r>
    </w:p>
  </w:footnote>
  <w:footnote w:type="continuationSeparator" w:id="0">
    <w:p w14:paraId="372EBF99" w14:textId="77777777" w:rsidR="008E28BE" w:rsidRDefault="008E28BE" w:rsidP="007B34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AEA6B" w14:textId="4D416CCC" w:rsidR="007B342A" w:rsidRDefault="007B342A">
    <w:pPr>
      <w:pStyle w:val="Header"/>
    </w:pPr>
    <w:r>
      <w:t>Kempton et al., Supplemental Materials</w:t>
    </w:r>
    <w:r w:rsidR="00092518">
      <w:t>, Figures S1 – S</w:t>
    </w:r>
    <w:r w:rsidR="0038542F"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D6E08"/>
    <w:multiLevelType w:val="hybridMultilevel"/>
    <w:tmpl w:val="9FA642C6"/>
    <w:lvl w:ilvl="0" w:tplc="E24E63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19E"/>
    <w:rsid w:val="0000793F"/>
    <w:rsid w:val="000612D0"/>
    <w:rsid w:val="00066857"/>
    <w:rsid w:val="00067323"/>
    <w:rsid w:val="00092518"/>
    <w:rsid w:val="000948AB"/>
    <w:rsid w:val="000B0306"/>
    <w:rsid w:val="000B22A5"/>
    <w:rsid w:val="000B3A55"/>
    <w:rsid w:val="000C761E"/>
    <w:rsid w:val="000D7C3A"/>
    <w:rsid w:val="000F419E"/>
    <w:rsid w:val="001173B1"/>
    <w:rsid w:val="00140149"/>
    <w:rsid w:val="0014644A"/>
    <w:rsid w:val="00154A35"/>
    <w:rsid w:val="001750C3"/>
    <w:rsid w:val="001A7C46"/>
    <w:rsid w:val="001C0A31"/>
    <w:rsid w:val="001E4C64"/>
    <w:rsid w:val="00222B98"/>
    <w:rsid w:val="0023505A"/>
    <w:rsid w:val="00240A76"/>
    <w:rsid w:val="002542DA"/>
    <w:rsid w:val="002607B1"/>
    <w:rsid w:val="00271B1C"/>
    <w:rsid w:val="002740A2"/>
    <w:rsid w:val="00277D18"/>
    <w:rsid w:val="002800BE"/>
    <w:rsid w:val="002822C2"/>
    <w:rsid w:val="002905BE"/>
    <w:rsid w:val="002D6B90"/>
    <w:rsid w:val="003012D0"/>
    <w:rsid w:val="003019F7"/>
    <w:rsid w:val="00335E45"/>
    <w:rsid w:val="003823AF"/>
    <w:rsid w:val="0038542F"/>
    <w:rsid w:val="00395907"/>
    <w:rsid w:val="003B5CFC"/>
    <w:rsid w:val="003C254D"/>
    <w:rsid w:val="004138FA"/>
    <w:rsid w:val="004368C8"/>
    <w:rsid w:val="00466A70"/>
    <w:rsid w:val="00483F8C"/>
    <w:rsid w:val="00492D1F"/>
    <w:rsid w:val="004C33DB"/>
    <w:rsid w:val="004C47E1"/>
    <w:rsid w:val="004D3BF2"/>
    <w:rsid w:val="004F06BB"/>
    <w:rsid w:val="004F0AD8"/>
    <w:rsid w:val="00501F22"/>
    <w:rsid w:val="00503CB5"/>
    <w:rsid w:val="00517F44"/>
    <w:rsid w:val="00615DA9"/>
    <w:rsid w:val="00634BAA"/>
    <w:rsid w:val="00646BCD"/>
    <w:rsid w:val="00650750"/>
    <w:rsid w:val="006D7C36"/>
    <w:rsid w:val="00704201"/>
    <w:rsid w:val="0073175D"/>
    <w:rsid w:val="00753290"/>
    <w:rsid w:val="00776328"/>
    <w:rsid w:val="007A1BEB"/>
    <w:rsid w:val="007B2B7C"/>
    <w:rsid w:val="007B342A"/>
    <w:rsid w:val="007D23AE"/>
    <w:rsid w:val="007D3DD5"/>
    <w:rsid w:val="00803661"/>
    <w:rsid w:val="008149F0"/>
    <w:rsid w:val="00825455"/>
    <w:rsid w:val="00852253"/>
    <w:rsid w:val="00881424"/>
    <w:rsid w:val="00884387"/>
    <w:rsid w:val="008E1CD8"/>
    <w:rsid w:val="008E28BE"/>
    <w:rsid w:val="008F0376"/>
    <w:rsid w:val="009012BA"/>
    <w:rsid w:val="009070CA"/>
    <w:rsid w:val="0093185F"/>
    <w:rsid w:val="00973933"/>
    <w:rsid w:val="009B2E5B"/>
    <w:rsid w:val="009E1C01"/>
    <w:rsid w:val="009E1F70"/>
    <w:rsid w:val="009F09A2"/>
    <w:rsid w:val="009F7977"/>
    <w:rsid w:val="009F7C3F"/>
    <w:rsid w:val="00A25F97"/>
    <w:rsid w:val="00A55205"/>
    <w:rsid w:val="00A60C25"/>
    <w:rsid w:val="00A663DF"/>
    <w:rsid w:val="00A8542E"/>
    <w:rsid w:val="00A85806"/>
    <w:rsid w:val="00A873B9"/>
    <w:rsid w:val="00A95F7C"/>
    <w:rsid w:val="00AD39AD"/>
    <w:rsid w:val="00AF753A"/>
    <w:rsid w:val="00B64B9A"/>
    <w:rsid w:val="00B700A7"/>
    <w:rsid w:val="00B957E9"/>
    <w:rsid w:val="00BB2E96"/>
    <w:rsid w:val="00BB6516"/>
    <w:rsid w:val="00BD5E9B"/>
    <w:rsid w:val="00BE3F2D"/>
    <w:rsid w:val="00BE6B67"/>
    <w:rsid w:val="00BF5DD9"/>
    <w:rsid w:val="00C0460F"/>
    <w:rsid w:val="00C24F29"/>
    <w:rsid w:val="00C32C72"/>
    <w:rsid w:val="00C37E01"/>
    <w:rsid w:val="00C50F13"/>
    <w:rsid w:val="00C878B2"/>
    <w:rsid w:val="00C90789"/>
    <w:rsid w:val="00CB03BE"/>
    <w:rsid w:val="00CC7557"/>
    <w:rsid w:val="00CD001E"/>
    <w:rsid w:val="00D05ED7"/>
    <w:rsid w:val="00D112E8"/>
    <w:rsid w:val="00D34366"/>
    <w:rsid w:val="00D37DD5"/>
    <w:rsid w:val="00D719FD"/>
    <w:rsid w:val="00D837E6"/>
    <w:rsid w:val="00DE4CA5"/>
    <w:rsid w:val="00E24354"/>
    <w:rsid w:val="00E70919"/>
    <w:rsid w:val="00EE30F9"/>
    <w:rsid w:val="00EE5674"/>
    <w:rsid w:val="00EF1A15"/>
    <w:rsid w:val="00EF5D10"/>
    <w:rsid w:val="00F0282B"/>
    <w:rsid w:val="00F1341B"/>
    <w:rsid w:val="00F13604"/>
    <w:rsid w:val="00F374CD"/>
    <w:rsid w:val="00F42486"/>
    <w:rsid w:val="00F4282F"/>
    <w:rsid w:val="00F53537"/>
    <w:rsid w:val="00FA3D37"/>
    <w:rsid w:val="00FB27DD"/>
    <w:rsid w:val="00FE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9F47F3"/>
  <w15:chartTrackingRefBased/>
  <w15:docId w15:val="{AF354CE0-48C2-4CFF-93C9-BEAEA0853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ferenceHead">
    <w:name w:val="Reference Head"/>
    <w:basedOn w:val="Normal"/>
    <w:rsid w:val="007B342A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B34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342A"/>
  </w:style>
  <w:style w:type="paragraph" w:styleId="Footer">
    <w:name w:val="footer"/>
    <w:basedOn w:val="Normal"/>
    <w:link w:val="FooterChar"/>
    <w:uiPriority w:val="99"/>
    <w:unhideWhenUsed/>
    <w:rsid w:val="007B34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342A"/>
  </w:style>
  <w:style w:type="character" w:styleId="CommentReference">
    <w:name w:val="annotation reference"/>
    <w:uiPriority w:val="99"/>
    <w:semiHidden/>
    <w:unhideWhenUsed/>
    <w:rsid w:val="000668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6857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66857"/>
    <w:rPr>
      <w:rFonts w:ascii="Calibri" w:eastAsia="Calibri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68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85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50F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2199</TotalTime>
  <Pages>7</Pages>
  <Words>1428</Words>
  <Characters>8141</Characters>
  <Application>Microsoft Office Word</Application>
  <DocSecurity>0</DocSecurity>
  <Lines>67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/</vt:lpstr>
      <vt:lpstr>Sun, S.S. and McDonough, W.F., 1989, Chemical and isotopic systematics of oceani</vt:lpstr>
      <vt:lpstr>/</vt:lpstr>
      <vt:lpstr/>
      <vt:lpstr>Le Roux, V., Lee, C.-T.A., Turner, S.J., 2010, Zn/Fe systematics in mafic and ul</vt:lpstr>
      <vt:lpstr>Sheldrick, T.C., Barry, T.L., Van Hinsbergen, J.J., Kempton, P.D., 2017, Constra</vt:lpstr>
      <vt:lpstr>Yang, Z.F. and Zhou, J.H., 2013, Can we identify source lithology of basalt? Sci</vt:lpstr>
      <vt:lpstr>Yang, Z.F., Li, J., Liang, W.F. and Luo, Z.H., 2016, On the chemical markers of </vt:lpstr>
    </vt:vector>
  </TitlesOfParts>
  <Company/>
  <LinksUpToDate>false</LinksUpToDate>
  <CharactersWithSpaces>9550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Kempton</dc:creator>
  <cp:keywords/>
  <dc:description/>
  <cp:lastModifiedBy>Pamela Kempton</cp:lastModifiedBy>
  <cp:revision>45</cp:revision>
  <cp:lastPrinted>2018-02-20T19:48:00Z</cp:lastPrinted>
  <dcterms:created xsi:type="dcterms:W3CDTF">2017-11-18T23:22:00Z</dcterms:created>
  <dcterms:modified xsi:type="dcterms:W3CDTF">2018-02-20T19:49:00Z</dcterms:modified>
</cp:coreProperties>
</file>