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92" w:rsidRPr="009624EF" w:rsidRDefault="001276C9" w:rsidP="00E42592">
      <w:pPr>
        <w:pStyle w:val="Head2"/>
        <w:ind w:firstLine="0"/>
      </w:pPr>
      <w:r>
        <w:t>Supplemental Data 1:</w:t>
      </w:r>
      <w:r w:rsidR="00E42592">
        <w:t xml:space="preserve"> Detailed Methods</w:t>
      </w:r>
    </w:p>
    <w:p w:rsidR="00E42592" w:rsidRDefault="00E42592" w:rsidP="00E42592">
      <w:pPr>
        <w:pStyle w:val="Head2"/>
        <w:ind w:firstLine="0"/>
      </w:pPr>
      <w:r>
        <w:t>Geochemistry</w:t>
      </w:r>
    </w:p>
    <w:p w:rsidR="00E42592" w:rsidRPr="008E5C6C" w:rsidRDefault="00E42592" w:rsidP="00E42592">
      <w:pPr>
        <w:tabs>
          <w:tab w:val="left" w:pos="1440"/>
        </w:tabs>
        <w:rPr>
          <w:rFonts w:eastAsia="Calibri"/>
          <w:szCs w:val="22"/>
          <w:shd w:val="clear" w:color="auto" w:fill="FFFFFF"/>
        </w:rPr>
      </w:pPr>
      <w:r w:rsidRPr="008E5C6C">
        <w:rPr>
          <w:rFonts w:eastAsia="Calibri"/>
          <w:szCs w:val="22"/>
          <w:shd w:val="clear" w:color="auto" w:fill="FFFFFF"/>
        </w:rPr>
        <w:t xml:space="preserve">Geochemical data presented are from representative Miocene dikes </w:t>
      </w:r>
      <w:r>
        <w:rPr>
          <w:rFonts w:eastAsia="Calibri"/>
          <w:szCs w:val="22"/>
          <w:shd w:val="clear" w:color="auto" w:fill="FFFFFF"/>
        </w:rPr>
        <w:t>in</w:t>
      </w:r>
      <w:r w:rsidRPr="008E5C6C">
        <w:rPr>
          <w:rFonts w:eastAsia="Calibri"/>
          <w:szCs w:val="22"/>
          <w:shd w:val="clear" w:color="auto" w:fill="FFFFFF"/>
        </w:rPr>
        <w:t xml:space="preserve"> the Chemehuevi dike swarm collected across the range. Samples </w:t>
      </w:r>
      <w:r w:rsidRPr="008E5C6C">
        <w:rPr>
          <w:rFonts w:eastAsia="Calibri"/>
          <w:szCs w:val="22"/>
          <w:shd w:val="clear" w:color="auto" w:fill="FEFEFE"/>
        </w:rPr>
        <w:t>were hand-crushed, and pulverized for 3 minutes using a tungsten-carbide mill</w:t>
      </w:r>
      <w:r w:rsidRPr="008E5C6C">
        <w:rPr>
          <w:rFonts w:eastAsia="Calibri"/>
          <w:szCs w:val="22"/>
          <w:shd w:val="clear" w:color="auto" w:fill="FFFFFF"/>
        </w:rPr>
        <w:t xml:space="preserve"> for whole-rock geochemistry</w:t>
      </w:r>
      <w:r w:rsidRPr="008E5C6C">
        <w:rPr>
          <w:rFonts w:eastAsia="Calibri"/>
          <w:szCs w:val="22"/>
          <w:shd w:val="clear" w:color="auto" w:fill="FEFEFE"/>
        </w:rPr>
        <w:t>. The resulting powders were fused into</w:t>
      </w:r>
      <w:r w:rsidRPr="008E5C6C">
        <w:rPr>
          <w:rFonts w:ascii="Calibri" w:eastAsia="Calibri" w:hAnsi="Calibri" w:cs="Calibri"/>
          <w:color w:val="212121"/>
          <w:szCs w:val="22"/>
          <w:shd w:val="clear" w:color="auto" w:fill="FEFEFE"/>
        </w:rPr>
        <w:t> </w:t>
      </w:r>
      <w:r w:rsidRPr="008E5C6C">
        <w:rPr>
          <w:rFonts w:eastAsia="Calibri"/>
          <w:szCs w:val="22"/>
          <w:shd w:val="clear" w:color="auto" w:fill="FFFFFF"/>
        </w:rPr>
        <w:t xml:space="preserve">glass discs using a Li-borate flux with a </w:t>
      </w:r>
      <w:proofErr w:type="spellStart"/>
      <w:r w:rsidRPr="008E5C6C">
        <w:rPr>
          <w:rFonts w:eastAsia="Calibri"/>
          <w:szCs w:val="22"/>
          <w:shd w:val="clear" w:color="auto" w:fill="FFFFFF"/>
        </w:rPr>
        <w:t>flux</w:t>
      </w:r>
      <w:proofErr w:type="gramStart"/>
      <w:r w:rsidRPr="008E5C6C">
        <w:rPr>
          <w:rFonts w:eastAsia="Calibri"/>
          <w:szCs w:val="22"/>
          <w:shd w:val="clear" w:color="auto" w:fill="FFFFFF"/>
        </w:rPr>
        <w:t>:sample</w:t>
      </w:r>
      <w:proofErr w:type="spellEnd"/>
      <w:proofErr w:type="gramEnd"/>
      <w:r w:rsidRPr="008E5C6C">
        <w:rPr>
          <w:rFonts w:eastAsia="Calibri"/>
          <w:szCs w:val="22"/>
          <w:shd w:val="clear" w:color="auto" w:fill="FFFFFF"/>
        </w:rPr>
        <w:t xml:space="preserve"> ratio of 3:1, and 1 drop of </w:t>
      </w:r>
      <w:proofErr w:type="spellStart"/>
      <w:r w:rsidRPr="008E5C6C">
        <w:rPr>
          <w:rFonts w:eastAsia="Calibri"/>
          <w:szCs w:val="22"/>
          <w:shd w:val="clear" w:color="auto" w:fill="FFFFFF"/>
        </w:rPr>
        <w:t>LiI</w:t>
      </w:r>
      <w:proofErr w:type="spellEnd"/>
      <w:r w:rsidRPr="008E5C6C">
        <w:rPr>
          <w:rFonts w:eastAsia="Calibri"/>
          <w:szCs w:val="22"/>
          <w:shd w:val="clear" w:color="auto" w:fill="FFFFFF"/>
        </w:rPr>
        <w:t xml:space="preserve"> non-wetting agent. Beads were prepared using an 11-minute cycle on a single </w:t>
      </w:r>
      <w:r>
        <w:rPr>
          <w:rFonts w:eastAsia="Calibri"/>
          <w:szCs w:val="22"/>
          <w:shd w:val="clear" w:color="auto" w:fill="FFFFFF"/>
        </w:rPr>
        <w:t xml:space="preserve">burner </w:t>
      </w:r>
      <w:r w:rsidRPr="008E5C6C">
        <w:rPr>
          <w:rFonts w:eastAsia="Calibri"/>
          <w:szCs w:val="22"/>
          <w:shd w:val="clear" w:color="auto" w:fill="FFFFFF"/>
        </w:rPr>
        <w:t xml:space="preserve">XRF-Scientific Phoenix Fusion </w:t>
      </w:r>
      <w:r>
        <w:rPr>
          <w:rFonts w:eastAsia="Calibri"/>
          <w:szCs w:val="22"/>
          <w:shd w:val="clear" w:color="auto" w:fill="FFFFFF"/>
        </w:rPr>
        <w:t>machine</w:t>
      </w:r>
      <w:r w:rsidRPr="008E5C6C">
        <w:rPr>
          <w:rFonts w:eastAsia="Calibri"/>
          <w:szCs w:val="22"/>
          <w:shd w:val="clear" w:color="auto" w:fill="FFFFFF"/>
        </w:rPr>
        <w:t>, and analyzed for</w:t>
      </w:r>
      <w:r w:rsidRPr="008E5C6C">
        <w:rPr>
          <w:rFonts w:ascii="Calibri" w:eastAsia="Calibri" w:hAnsi="Calibri" w:cs="Calibri"/>
          <w:color w:val="212121"/>
          <w:szCs w:val="22"/>
          <w:shd w:val="clear" w:color="auto" w:fill="FEFEFE"/>
        </w:rPr>
        <w:t> </w:t>
      </w:r>
      <w:r w:rsidRPr="008E5C6C">
        <w:rPr>
          <w:rFonts w:eastAsia="Calibri"/>
          <w:szCs w:val="22"/>
          <w:shd w:val="clear" w:color="auto" w:fill="FEFEFE"/>
        </w:rPr>
        <w:t>SiO</w:t>
      </w:r>
      <w:r w:rsidRPr="008E5C6C">
        <w:rPr>
          <w:rFonts w:eastAsia="Calibri"/>
          <w:sz w:val="20"/>
          <w:szCs w:val="20"/>
          <w:shd w:val="clear" w:color="auto" w:fill="FEFEFE"/>
          <w:vertAlign w:val="subscript"/>
        </w:rPr>
        <w:t>2</w:t>
      </w:r>
      <w:r w:rsidRPr="008E5C6C">
        <w:rPr>
          <w:rFonts w:eastAsia="Calibri"/>
          <w:szCs w:val="22"/>
          <w:shd w:val="clear" w:color="auto" w:fill="FEFEFE"/>
        </w:rPr>
        <w:t>, TiO</w:t>
      </w:r>
      <w:r w:rsidRPr="008E5C6C">
        <w:rPr>
          <w:rFonts w:eastAsia="Calibri"/>
          <w:sz w:val="20"/>
          <w:szCs w:val="20"/>
          <w:shd w:val="clear" w:color="auto" w:fill="FEFEFE"/>
          <w:vertAlign w:val="subscript"/>
        </w:rPr>
        <w:t>2</w:t>
      </w:r>
      <w:r w:rsidRPr="008E5C6C">
        <w:rPr>
          <w:rFonts w:eastAsia="Calibri"/>
          <w:szCs w:val="22"/>
          <w:shd w:val="clear" w:color="auto" w:fill="FEFEFE"/>
        </w:rPr>
        <w:t>, Al</w:t>
      </w:r>
      <w:r w:rsidRPr="008E5C6C">
        <w:rPr>
          <w:rFonts w:eastAsia="Calibri"/>
          <w:sz w:val="20"/>
          <w:szCs w:val="20"/>
          <w:shd w:val="clear" w:color="auto" w:fill="FEFEFE"/>
          <w:vertAlign w:val="subscript"/>
        </w:rPr>
        <w:t>2</w:t>
      </w:r>
      <w:r w:rsidRPr="008E5C6C">
        <w:rPr>
          <w:rFonts w:eastAsia="Calibri"/>
          <w:szCs w:val="22"/>
          <w:shd w:val="clear" w:color="auto" w:fill="FEFEFE"/>
        </w:rPr>
        <w:t>O</w:t>
      </w:r>
      <w:r w:rsidRPr="008E5C6C">
        <w:rPr>
          <w:rFonts w:eastAsia="Calibri"/>
          <w:sz w:val="20"/>
          <w:szCs w:val="20"/>
          <w:shd w:val="clear" w:color="auto" w:fill="FEFEFE"/>
          <w:vertAlign w:val="subscript"/>
        </w:rPr>
        <w:t>3</w:t>
      </w:r>
      <w:r w:rsidRPr="008E5C6C">
        <w:rPr>
          <w:rFonts w:eastAsia="Calibri"/>
          <w:szCs w:val="22"/>
          <w:shd w:val="clear" w:color="auto" w:fill="FEFEFE"/>
        </w:rPr>
        <w:t xml:space="preserve">, </w:t>
      </w:r>
      <w:proofErr w:type="spellStart"/>
      <w:r w:rsidRPr="008E5C6C">
        <w:rPr>
          <w:rFonts w:eastAsia="Calibri"/>
          <w:szCs w:val="22"/>
          <w:shd w:val="clear" w:color="auto" w:fill="FEFEFE"/>
        </w:rPr>
        <w:t>FeO</w:t>
      </w:r>
      <w:proofErr w:type="spellEnd"/>
      <w:r w:rsidRPr="008E5C6C">
        <w:rPr>
          <w:rFonts w:eastAsia="Calibri"/>
          <w:szCs w:val="22"/>
          <w:shd w:val="clear" w:color="auto" w:fill="FEFEFE"/>
        </w:rPr>
        <w:t xml:space="preserve">, </w:t>
      </w:r>
      <w:proofErr w:type="spellStart"/>
      <w:r w:rsidRPr="008E5C6C">
        <w:rPr>
          <w:rFonts w:eastAsia="Calibri"/>
          <w:szCs w:val="22"/>
          <w:shd w:val="clear" w:color="auto" w:fill="FEFEFE"/>
        </w:rPr>
        <w:t>MnO</w:t>
      </w:r>
      <w:proofErr w:type="spellEnd"/>
      <w:r w:rsidRPr="008E5C6C">
        <w:rPr>
          <w:rFonts w:eastAsia="Calibri"/>
          <w:szCs w:val="22"/>
          <w:shd w:val="clear" w:color="auto" w:fill="FEFEFE"/>
        </w:rPr>
        <w:t xml:space="preserve">, </w:t>
      </w:r>
      <w:proofErr w:type="spellStart"/>
      <w:r w:rsidRPr="008E5C6C">
        <w:rPr>
          <w:rFonts w:eastAsia="Calibri"/>
          <w:szCs w:val="22"/>
          <w:shd w:val="clear" w:color="auto" w:fill="FEFEFE"/>
        </w:rPr>
        <w:t>MgO</w:t>
      </w:r>
      <w:proofErr w:type="spellEnd"/>
      <w:r w:rsidRPr="008E5C6C">
        <w:rPr>
          <w:rFonts w:eastAsia="Calibri"/>
          <w:szCs w:val="22"/>
          <w:shd w:val="clear" w:color="auto" w:fill="FEFEFE"/>
        </w:rPr>
        <w:t>, Ca</w:t>
      </w:r>
      <w:r w:rsidRPr="008E5C6C">
        <w:rPr>
          <w:rFonts w:eastAsia="Calibri"/>
          <w:sz w:val="20"/>
          <w:szCs w:val="20"/>
          <w:shd w:val="clear" w:color="auto" w:fill="FEFEFE"/>
          <w:vertAlign w:val="subscript"/>
        </w:rPr>
        <w:t>2</w:t>
      </w:r>
      <w:r w:rsidRPr="008E5C6C">
        <w:rPr>
          <w:rFonts w:eastAsia="Calibri"/>
          <w:szCs w:val="22"/>
          <w:shd w:val="clear" w:color="auto" w:fill="FEFEFE"/>
        </w:rPr>
        <w:t>O, Na</w:t>
      </w:r>
      <w:r w:rsidRPr="008E5C6C">
        <w:rPr>
          <w:rFonts w:eastAsia="Calibri"/>
          <w:sz w:val="20"/>
          <w:szCs w:val="20"/>
          <w:shd w:val="clear" w:color="auto" w:fill="FEFEFE"/>
          <w:vertAlign w:val="subscript"/>
        </w:rPr>
        <w:t>2</w:t>
      </w:r>
      <w:r w:rsidRPr="008E5C6C">
        <w:rPr>
          <w:rFonts w:eastAsia="Calibri"/>
          <w:szCs w:val="22"/>
          <w:shd w:val="clear" w:color="auto" w:fill="FEFEFE"/>
        </w:rPr>
        <w:t>O, K</w:t>
      </w:r>
      <w:r w:rsidRPr="008E5C6C">
        <w:rPr>
          <w:rFonts w:eastAsia="Calibri"/>
          <w:sz w:val="20"/>
          <w:szCs w:val="20"/>
          <w:shd w:val="clear" w:color="auto" w:fill="FEFEFE"/>
          <w:vertAlign w:val="subscript"/>
        </w:rPr>
        <w:t>2</w:t>
      </w:r>
      <w:r w:rsidRPr="008E5C6C">
        <w:rPr>
          <w:rFonts w:eastAsia="Calibri"/>
          <w:szCs w:val="22"/>
          <w:shd w:val="clear" w:color="auto" w:fill="FEFEFE"/>
        </w:rPr>
        <w:t>O, P</w:t>
      </w:r>
      <w:r w:rsidRPr="008E5C6C">
        <w:rPr>
          <w:rFonts w:eastAsia="Calibri"/>
          <w:sz w:val="20"/>
          <w:szCs w:val="20"/>
          <w:shd w:val="clear" w:color="auto" w:fill="FEFEFE"/>
          <w:vertAlign w:val="subscript"/>
        </w:rPr>
        <w:t>2</w:t>
      </w:r>
      <w:r w:rsidRPr="008E5C6C">
        <w:rPr>
          <w:rFonts w:eastAsia="Calibri"/>
          <w:szCs w:val="22"/>
          <w:shd w:val="clear" w:color="auto" w:fill="FEFEFE"/>
        </w:rPr>
        <w:t>O</w:t>
      </w:r>
      <w:r w:rsidRPr="008E5C6C">
        <w:rPr>
          <w:rFonts w:eastAsia="Calibri"/>
          <w:sz w:val="20"/>
          <w:szCs w:val="20"/>
          <w:shd w:val="clear" w:color="auto" w:fill="FEFEFE"/>
          <w:vertAlign w:val="subscript"/>
        </w:rPr>
        <w:t>5</w:t>
      </w:r>
      <w:r w:rsidRPr="008E5C6C">
        <w:rPr>
          <w:rFonts w:eastAsia="Calibri"/>
          <w:szCs w:val="22"/>
          <w:shd w:val="clear" w:color="auto" w:fill="FEFEFE"/>
        </w:rPr>
        <w:t>, and trace elements</w:t>
      </w:r>
      <w:r w:rsidRPr="008E5C6C">
        <w:rPr>
          <w:rFonts w:ascii="Calibri" w:eastAsia="Calibri" w:hAnsi="Calibri" w:cs="Calibri"/>
          <w:color w:val="212121"/>
          <w:szCs w:val="22"/>
          <w:shd w:val="clear" w:color="auto" w:fill="FEFEFE"/>
        </w:rPr>
        <w:t xml:space="preserve"> </w:t>
      </w:r>
      <w:r w:rsidRPr="008E5C6C">
        <w:rPr>
          <w:rFonts w:eastAsia="Calibri"/>
          <w:szCs w:val="22"/>
          <w:shd w:val="clear" w:color="auto" w:fill="FFFFFF"/>
        </w:rPr>
        <w:t xml:space="preserve">Ba, </w:t>
      </w:r>
      <w:proofErr w:type="spellStart"/>
      <w:r w:rsidRPr="008E5C6C">
        <w:rPr>
          <w:rFonts w:eastAsia="Calibri"/>
          <w:szCs w:val="22"/>
          <w:shd w:val="clear" w:color="auto" w:fill="FFFFFF"/>
        </w:rPr>
        <w:t>Sr</w:t>
      </w:r>
      <w:proofErr w:type="spellEnd"/>
      <w:r w:rsidRPr="008E5C6C">
        <w:rPr>
          <w:rFonts w:eastAsia="Calibri"/>
          <w:szCs w:val="22"/>
          <w:shd w:val="clear" w:color="auto" w:fill="FFFFFF"/>
        </w:rPr>
        <w:t xml:space="preserve">, and </w:t>
      </w:r>
      <w:proofErr w:type="spellStart"/>
      <w:r w:rsidRPr="008E5C6C">
        <w:rPr>
          <w:rFonts w:eastAsia="Calibri"/>
          <w:szCs w:val="22"/>
          <w:shd w:val="clear" w:color="auto" w:fill="FFFFFF"/>
        </w:rPr>
        <w:t>Zr</w:t>
      </w:r>
      <w:proofErr w:type="spellEnd"/>
      <w:r w:rsidRPr="008E5C6C">
        <w:rPr>
          <w:rFonts w:eastAsia="Calibri"/>
          <w:szCs w:val="22"/>
          <w:shd w:val="clear" w:color="auto" w:fill="FFFFFF"/>
        </w:rPr>
        <w:t xml:space="preserve">. X-Ray Fluorescence (XRF) analyses were conducted on the </w:t>
      </w:r>
      <w:proofErr w:type="spellStart"/>
      <w:r w:rsidRPr="008E5C6C">
        <w:rPr>
          <w:rFonts w:eastAsia="Calibri"/>
          <w:szCs w:val="22"/>
          <w:shd w:val="clear" w:color="auto" w:fill="FFFFFF"/>
        </w:rPr>
        <w:t>Rigaku</w:t>
      </w:r>
      <w:proofErr w:type="spellEnd"/>
      <w:r w:rsidRPr="008E5C6C">
        <w:rPr>
          <w:rFonts w:eastAsia="Calibri"/>
          <w:szCs w:val="22"/>
          <w:shd w:val="clear" w:color="auto" w:fill="FFFFFF"/>
        </w:rPr>
        <w:t xml:space="preserve"> Supermini200 at Ohio University. Concentrations were determined using the Fundamental Parameters (FP) method </w:t>
      </w:r>
      <w:r w:rsidRPr="00561C47">
        <w:rPr>
          <w:rFonts w:eastAsia="Calibri"/>
          <w:szCs w:val="22"/>
          <w:shd w:val="clear" w:color="auto" w:fill="FFFFFF"/>
        </w:rPr>
        <w:t>(Kansai, 2008)</w:t>
      </w:r>
      <w:r w:rsidRPr="008E5C6C">
        <w:rPr>
          <w:rFonts w:eastAsia="Calibri"/>
          <w:szCs w:val="22"/>
          <w:shd w:val="clear" w:color="auto" w:fill="FFFFFF"/>
        </w:rPr>
        <w:t xml:space="preserve"> and calibrated against 12 USGS rock standards. BHVO-2 (basalt) was used as the running standard throughout analysis. Based on the repeated analyses of the running standard, relative uncertainty for element oxides was typically 1-2%</w:t>
      </w:r>
      <w:r>
        <w:rPr>
          <w:rFonts w:eastAsia="Calibri"/>
          <w:szCs w:val="22"/>
          <w:shd w:val="clear" w:color="auto" w:fill="FFFFFF"/>
        </w:rPr>
        <w:t xml:space="preserve"> or less</w:t>
      </w:r>
      <w:r w:rsidRPr="008E5C6C">
        <w:rPr>
          <w:rFonts w:eastAsia="Calibri"/>
          <w:szCs w:val="22"/>
          <w:shd w:val="clear" w:color="auto" w:fill="FFFFFF"/>
        </w:rPr>
        <w:t>. Relative uncertainty</w:t>
      </w:r>
      <w:r>
        <w:rPr>
          <w:rFonts w:eastAsia="Calibri"/>
          <w:szCs w:val="22"/>
          <w:shd w:val="clear" w:color="auto" w:fill="FFFFFF"/>
        </w:rPr>
        <w:t xml:space="preserve"> (accuracy and precision) for trace elements </w:t>
      </w:r>
      <w:r w:rsidRPr="008E5C6C">
        <w:rPr>
          <w:rFonts w:eastAsia="Calibri"/>
          <w:szCs w:val="22"/>
          <w:shd w:val="clear" w:color="auto" w:fill="FFFFFF"/>
        </w:rPr>
        <w:t xml:space="preserve">was </w:t>
      </w:r>
      <w:r>
        <w:rPr>
          <w:rFonts w:eastAsia="Calibri"/>
          <w:szCs w:val="22"/>
          <w:shd w:val="clear" w:color="auto" w:fill="FFFFFF"/>
        </w:rPr>
        <w:t>less</w:t>
      </w:r>
      <w:r w:rsidRPr="008E5C6C">
        <w:rPr>
          <w:rFonts w:eastAsia="Calibri"/>
          <w:szCs w:val="22"/>
          <w:shd w:val="clear" w:color="auto" w:fill="FFFFFF"/>
        </w:rPr>
        <w:t xml:space="preserve"> than 15%. These are comparable to the long-term uncertainties obtained using the </w:t>
      </w:r>
      <w:proofErr w:type="spellStart"/>
      <w:r w:rsidRPr="008E5C6C">
        <w:rPr>
          <w:rFonts w:eastAsia="Calibri"/>
          <w:szCs w:val="22"/>
          <w:shd w:val="clear" w:color="auto" w:fill="FFFFFF"/>
        </w:rPr>
        <w:t>Rigaku</w:t>
      </w:r>
      <w:proofErr w:type="spellEnd"/>
      <w:r w:rsidRPr="008E5C6C">
        <w:rPr>
          <w:rFonts w:eastAsia="Calibri"/>
          <w:szCs w:val="22"/>
          <w:shd w:val="clear" w:color="auto" w:fill="FFFFFF"/>
        </w:rPr>
        <w:t xml:space="preserve"> </w:t>
      </w:r>
      <w:proofErr w:type="gramStart"/>
      <w:r w:rsidRPr="008E5C6C">
        <w:rPr>
          <w:rFonts w:eastAsia="Calibri"/>
          <w:szCs w:val="22"/>
          <w:shd w:val="clear" w:color="auto" w:fill="FFFFFF"/>
        </w:rPr>
        <w:t>Supermini200 at OU for major and trace elements.</w:t>
      </w:r>
      <w:proofErr w:type="gramEnd"/>
      <w:r w:rsidRPr="008E5C6C">
        <w:rPr>
          <w:rFonts w:eastAsia="Calibri"/>
          <w:szCs w:val="22"/>
          <w:shd w:val="clear" w:color="auto" w:fill="FFFFFF"/>
        </w:rPr>
        <w:t xml:space="preserve"> </w:t>
      </w:r>
    </w:p>
    <w:p w:rsidR="00E42592" w:rsidRPr="008C0CF4" w:rsidRDefault="00E42592" w:rsidP="00E42592">
      <w:pPr>
        <w:pStyle w:val="Head2"/>
        <w:ind w:firstLine="0"/>
      </w:pPr>
      <w:r w:rsidRPr="008C0CF4">
        <w:t>Geochronology</w:t>
      </w:r>
    </w:p>
    <w:p w:rsidR="00E42592" w:rsidRPr="008E5C6C" w:rsidRDefault="00E42592" w:rsidP="00E42592">
      <w:pPr>
        <w:tabs>
          <w:tab w:val="left" w:pos="1440"/>
        </w:tabs>
        <w:rPr>
          <w:rFonts w:eastAsia="Calibri"/>
          <w:szCs w:val="22"/>
        </w:rPr>
      </w:pPr>
      <w:r w:rsidRPr="008E5C6C">
        <w:rPr>
          <w:rFonts w:eastAsia="Calibri"/>
          <w:szCs w:val="22"/>
        </w:rPr>
        <w:t xml:space="preserve">To constrain the timing of dike emplacement relative to initiation of faulting associated with the </w:t>
      </w:r>
      <w:r>
        <w:rPr>
          <w:rFonts w:eastAsia="Calibri"/>
          <w:szCs w:val="22"/>
        </w:rPr>
        <w:t>Chemehuevi detachment fault</w:t>
      </w:r>
      <w:r w:rsidRPr="008E5C6C">
        <w:rPr>
          <w:rFonts w:eastAsia="Calibri"/>
          <w:szCs w:val="22"/>
        </w:rPr>
        <w:t xml:space="preserve"> system, U-</w:t>
      </w:r>
      <w:proofErr w:type="spellStart"/>
      <w:r w:rsidRPr="008E5C6C">
        <w:rPr>
          <w:rFonts w:eastAsia="Calibri"/>
          <w:szCs w:val="22"/>
        </w:rPr>
        <w:t>Pb</w:t>
      </w:r>
      <w:proofErr w:type="spellEnd"/>
      <w:r w:rsidRPr="008E5C6C">
        <w:rPr>
          <w:rFonts w:eastAsia="Calibri"/>
          <w:szCs w:val="22"/>
        </w:rPr>
        <w:t xml:space="preserve"> geochronology and allied trace element geochemistry of zircon from dikes of appropriate composition hosted in domains 1 through 5 were completed. </w:t>
      </w:r>
      <w:r>
        <w:rPr>
          <w:rFonts w:eastAsia="Calibri"/>
          <w:szCs w:val="22"/>
        </w:rPr>
        <w:t>Five</w:t>
      </w:r>
      <w:r w:rsidRPr="008E5C6C">
        <w:rPr>
          <w:rFonts w:eastAsia="Calibri"/>
          <w:szCs w:val="22"/>
        </w:rPr>
        <w:t xml:space="preserve"> dikes</w:t>
      </w:r>
      <w:r w:rsidRPr="008E5C6C" w:rsidDel="003873FA">
        <w:rPr>
          <w:rFonts w:eastAsia="Calibri"/>
          <w:szCs w:val="22"/>
        </w:rPr>
        <w:t xml:space="preserve"> </w:t>
      </w:r>
      <w:r w:rsidRPr="008E5C6C">
        <w:rPr>
          <w:rFonts w:eastAsia="Calibri"/>
          <w:szCs w:val="22"/>
        </w:rPr>
        <w:t>from those sampled across the f</w:t>
      </w:r>
      <w:r>
        <w:rPr>
          <w:rFonts w:eastAsia="Calibri"/>
          <w:szCs w:val="22"/>
        </w:rPr>
        <w:t>ootwall (SW and NE regions) were included for zircon U-</w:t>
      </w:r>
      <w:proofErr w:type="spellStart"/>
      <w:r w:rsidRPr="008E5C6C">
        <w:rPr>
          <w:rFonts w:eastAsia="Calibri"/>
          <w:szCs w:val="22"/>
        </w:rPr>
        <w:t>Pb</w:t>
      </w:r>
      <w:proofErr w:type="spellEnd"/>
      <w:r w:rsidRPr="008E5C6C">
        <w:rPr>
          <w:rFonts w:eastAsia="Calibri"/>
          <w:szCs w:val="22"/>
        </w:rPr>
        <w:t xml:space="preserve"> dating. We note a significant proportion of the Chemehuevi dike swarm are weakly to moderately altered basalt, </w:t>
      </w:r>
      <w:proofErr w:type="spellStart"/>
      <w:r w:rsidRPr="008E5C6C">
        <w:rPr>
          <w:rFonts w:eastAsia="Calibri"/>
          <w:szCs w:val="22"/>
        </w:rPr>
        <w:t>trachybasalt</w:t>
      </w:r>
      <w:proofErr w:type="spellEnd"/>
      <w:r w:rsidRPr="008E5C6C">
        <w:rPr>
          <w:rFonts w:eastAsia="Calibri"/>
          <w:szCs w:val="22"/>
        </w:rPr>
        <w:t xml:space="preserve"> and </w:t>
      </w:r>
      <w:r w:rsidRPr="008E5C6C">
        <w:rPr>
          <w:rFonts w:eastAsia="Calibri" w:cs="Helvetica"/>
          <w:szCs w:val="22"/>
        </w:rPr>
        <w:t xml:space="preserve">basaltic </w:t>
      </w:r>
      <w:proofErr w:type="spellStart"/>
      <w:r w:rsidRPr="008E5C6C">
        <w:rPr>
          <w:rFonts w:eastAsia="Calibri" w:cs="Helvetica"/>
          <w:szCs w:val="22"/>
        </w:rPr>
        <w:t>trachyandesite</w:t>
      </w:r>
      <w:proofErr w:type="spellEnd"/>
      <w:r w:rsidRPr="008E5C6C">
        <w:rPr>
          <w:rFonts w:eastAsia="Calibri"/>
          <w:szCs w:val="22"/>
        </w:rPr>
        <w:t xml:space="preserve">, hosting no </w:t>
      </w:r>
      <w:r w:rsidRPr="008E5C6C">
        <w:rPr>
          <w:rFonts w:eastAsia="Calibri"/>
          <w:szCs w:val="22"/>
        </w:rPr>
        <w:lastRenderedPageBreak/>
        <w:t>appropriate minerals for geochron</w:t>
      </w:r>
      <w:r>
        <w:rPr>
          <w:rFonts w:eastAsia="Calibri"/>
          <w:szCs w:val="22"/>
        </w:rPr>
        <w:t>ology (i.e. U-</w:t>
      </w:r>
      <w:proofErr w:type="spellStart"/>
      <w:r w:rsidRPr="008E5C6C">
        <w:rPr>
          <w:rFonts w:eastAsia="Calibri"/>
          <w:szCs w:val="22"/>
        </w:rPr>
        <w:t>Pb</w:t>
      </w:r>
      <w:proofErr w:type="spellEnd"/>
      <w:r w:rsidRPr="008E5C6C">
        <w:rPr>
          <w:rFonts w:eastAsia="Calibri"/>
          <w:szCs w:val="22"/>
        </w:rPr>
        <w:t xml:space="preserve"> or </w:t>
      </w:r>
      <w:r w:rsidRPr="00F4363A">
        <w:rPr>
          <w:rFonts w:eastAsia="Calibri"/>
          <w:szCs w:val="22"/>
          <w:vertAlign w:val="superscript"/>
        </w:rPr>
        <w:t>40</w:t>
      </w:r>
      <w:r w:rsidRPr="00F4363A">
        <w:rPr>
          <w:rFonts w:eastAsia="Calibri"/>
          <w:szCs w:val="22"/>
        </w:rPr>
        <w:t>Ar/</w:t>
      </w:r>
      <w:r w:rsidRPr="00F4363A">
        <w:rPr>
          <w:rFonts w:eastAsia="Calibri"/>
          <w:szCs w:val="22"/>
          <w:vertAlign w:val="superscript"/>
        </w:rPr>
        <w:t>39</w:t>
      </w:r>
      <w:r w:rsidRPr="00F4363A">
        <w:rPr>
          <w:rFonts w:eastAsia="Calibri"/>
          <w:szCs w:val="22"/>
        </w:rPr>
        <w:t>Ar</w:t>
      </w:r>
      <w:r w:rsidRPr="008E5C6C">
        <w:rPr>
          <w:rFonts w:eastAsia="Calibri"/>
          <w:szCs w:val="22"/>
        </w:rPr>
        <w:t xml:space="preserve">); dated samples are therefore limited to </w:t>
      </w:r>
      <w:proofErr w:type="spellStart"/>
      <w:r w:rsidRPr="008E5C6C">
        <w:rPr>
          <w:rFonts w:eastAsia="Calibri" w:cs="Adobe Naskh Medium"/>
          <w:szCs w:val="22"/>
        </w:rPr>
        <w:t>dacite</w:t>
      </w:r>
      <w:proofErr w:type="spellEnd"/>
      <w:r w:rsidRPr="008E5C6C">
        <w:rPr>
          <w:rFonts w:eastAsia="Calibri" w:cs="Adobe Naskh Medium"/>
          <w:szCs w:val="22"/>
        </w:rPr>
        <w:t xml:space="preserve"> and rhyolite dike</w:t>
      </w:r>
      <w:r>
        <w:rPr>
          <w:rFonts w:eastAsia="Calibri" w:cs="Adobe Naskh Medium"/>
          <w:szCs w:val="22"/>
        </w:rPr>
        <w:t xml:space="preserve"> compositions</w:t>
      </w:r>
      <w:r w:rsidRPr="008E5C6C">
        <w:rPr>
          <w:rFonts w:eastAsia="Calibri"/>
          <w:szCs w:val="22"/>
        </w:rPr>
        <w:t xml:space="preserve">. </w:t>
      </w:r>
    </w:p>
    <w:p w:rsidR="00E42592" w:rsidRPr="00F06A8A" w:rsidRDefault="00E42592" w:rsidP="00E42592">
      <w:pPr>
        <w:tabs>
          <w:tab w:val="left" w:pos="1440"/>
        </w:tabs>
        <w:rPr>
          <w:rFonts w:eastAsia="Calibri"/>
          <w:szCs w:val="22"/>
          <w:highlight w:val="yellow"/>
        </w:rPr>
      </w:pPr>
      <w:r w:rsidRPr="008E5C6C">
        <w:rPr>
          <w:rFonts w:eastAsia="Calibri"/>
          <w:szCs w:val="22"/>
        </w:rPr>
        <w:t xml:space="preserve">Samples were crushed using mechanical jaw and disk crushers, sieved to &lt;250 µm, and washed in a water bath. Iron oxides and magnetic phases (e.g. pyroxene and amphibole) were removed using Frantz freefall and magnetic barrier separators. Non-magnetic separates were concentrated by density using methylene iodide. Recovered zircon range from large, euhedral grains with well-defined oscillatory zoning and rare embayed cores, to </w:t>
      </w:r>
      <w:proofErr w:type="spellStart"/>
      <w:r w:rsidRPr="008E5C6C">
        <w:rPr>
          <w:rFonts w:eastAsia="Calibri"/>
          <w:szCs w:val="22"/>
        </w:rPr>
        <w:t>subhedral</w:t>
      </w:r>
      <w:proofErr w:type="spellEnd"/>
      <w:r w:rsidRPr="008E5C6C">
        <w:rPr>
          <w:rFonts w:eastAsia="Calibri"/>
          <w:szCs w:val="22"/>
        </w:rPr>
        <w:t xml:space="preserve"> or </w:t>
      </w:r>
      <w:proofErr w:type="spellStart"/>
      <w:r w:rsidRPr="008E5C6C">
        <w:rPr>
          <w:rFonts w:eastAsia="Calibri"/>
          <w:szCs w:val="22"/>
        </w:rPr>
        <w:t>subequant</w:t>
      </w:r>
      <w:proofErr w:type="spellEnd"/>
      <w:r w:rsidRPr="008E5C6C">
        <w:rPr>
          <w:rFonts w:eastAsia="Calibri"/>
          <w:szCs w:val="22"/>
        </w:rPr>
        <w:t xml:space="preserve"> grains with weak oscillatory or irregular zoning. For each sample, 20-50 grains between ~40 to 400 µm in long dimension were hand-picked and mounted in epoxy, polished, washed in 1N </w:t>
      </w:r>
      <w:proofErr w:type="spellStart"/>
      <w:r w:rsidRPr="008E5C6C">
        <w:rPr>
          <w:rFonts w:eastAsia="Calibri"/>
          <w:szCs w:val="22"/>
        </w:rPr>
        <w:t>HCl</w:t>
      </w:r>
      <w:proofErr w:type="spellEnd"/>
      <w:r w:rsidRPr="008E5C6C">
        <w:rPr>
          <w:rFonts w:eastAsia="Calibri"/>
          <w:szCs w:val="22"/>
        </w:rPr>
        <w:t xml:space="preserve"> to prepare for isotopic analyses, and coated with ~100Å thick Au before geochemical analyses.</w:t>
      </w:r>
    </w:p>
    <w:p w:rsidR="00E42592" w:rsidRPr="008C0CF4" w:rsidRDefault="00E42592" w:rsidP="00E42592">
      <w:pPr>
        <w:pStyle w:val="Head2"/>
        <w:ind w:firstLine="0"/>
        <w:rPr>
          <w:i/>
        </w:rPr>
      </w:pPr>
      <w:r w:rsidRPr="008C0CF4">
        <w:rPr>
          <w:i/>
        </w:rPr>
        <w:t>Data Collection and Reduction</w:t>
      </w:r>
    </w:p>
    <w:p w:rsidR="00E42592" w:rsidRPr="00850CF6" w:rsidRDefault="00E42592" w:rsidP="00E42592">
      <w:pPr>
        <w:widowControl w:val="0"/>
        <w:tabs>
          <w:tab w:val="left" w:pos="1440"/>
        </w:tabs>
        <w:autoSpaceDE w:val="0"/>
        <w:autoSpaceDN w:val="0"/>
        <w:adjustRightInd w:val="0"/>
        <w:rPr>
          <w:rFonts w:eastAsia="Calibri"/>
          <w:szCs w:val="22"/>
        </w:rPr>
      </w:pPr>
      <w:r w:rsidRPr="00850CF6">
        <w:rPr>
          <w:rFonts w:eastAsia="Calibri"/>
          <w:szCs w:val="22"/>
        </w:rPr>
        <w:t>U-</w:t>
      </w:r>
      <w:proofErr w:type="spellStart"/>
      <w:r w:rsidRPr="00850CF6">
        <w:rPr>
          <w:rFonts w:eastAsia="Calibri"/>
          <w:szCs w:val="22"/>
        </w:rPr>
        <w:t>Pb</w:t>
      </w:r>
      <w:proofErr w:type="spellEnd"/>
      <w:r w:rsidRPr="00850CF6">
        <w:rPr>
          <w:rFonts w:eastAsia="Calibri"/>
          <w:szCs w:val="22"/>
        </w:rPr>
        <w:t xml:space="preserve"> zircon dating and trace element geochemical analyses were performed at the U.S. Geological Survey–Stanford Ion Microprobe Laboratory using the sensitive high-resolution ion microprobe–reverse geometry (SHRIMP-RG). Prior to analysis, all grains were imaged using both reflected light and </w:t>
      </w:r>
      <w:proofErr w:type="spellStart"/>
      <w:r w:rsidRPr="00850CF6">
        <w:rPr>
          <w:rFonts w:eastAsia="Calibri"/>
          <w:szCs w:val="22"/>
        </w:rPr>
        <w:t>cathodoluminescence</w:t>
      </w:r>
      <w:proofErr w:type="spellEnd"/>
      <w:r w:rsidRPr="00850CF6">
        <w:rPr>
          <w:rFonts w:eastAsia="Calibri"/>
          <w:szCs w:val="22"/>
        </w:rPr>
        <w:t xml:space="preserve">. These images were used as a guide for avoiding </w:t>
      </w:r>
      <w:proofErr w:type="spellStart"/>
      <w:r w:rsidRPr="00850CF6">
        <w:rPr>
          <w:rFonts w:eastAsia="Calibri"/>
          <w:szCs w:val="22"/>
        </w:rPr>
        <w:t>microcracks</w:t>
      </w:r>
      <w:proofErr w:type="spellEnd"/>
      <w:r w:rsidRPr="00850CF6">
        <w:rPr>
          <w:rFonts w:eastAsia="Calibri"/>
          <w:szCs w:val="22"/>
        </w:rPr>
        <w:t xml:space="preserve"> and inclusions, and for targeting specific zones within grains. SHRIMP-RG analyses were conducted using an O</w:t>
      </w:r>
      <w:r w:rsidRPr="00850CF6">
        <w:rPr>
          <w:rFonts w:eastAsia="Calibri"/>
          <w:szCs w:val="22"/>
          <w:vertAlign w:val="subscript"/>
        </w:rPr>
        <w:t>2</w:t>
      </w:r>
      <w:r w:rsidRPr="00850CF6">
        <w:rPr>
          <w:rFonts w:eastAsia="Calibri"/>
          <w:szCs w:val="22"/>
          <w:vertAlign w:val="superscript"/>
        </w:rPr>
        <w:t>-</w:t>
      </w:r>
      <w:r w:rsidRPr="00850CF6">
        <w:rPr>
          <w:rFonts w:eastAsia="Calibri"/>
          <w:szCs w:val="22"/>
          <w:vertAlign w:val="subscript"/>
        </w:rPr>
        <w:t xml:space="preserve"> </w:t>
      </w:r>
      <w:r w:rsidRPr="00850CF6">
        <w:rPr>
          <w:rFonts w:eastAsia="Calibri"/>
          <w:szCs w:val="22"/>
        </w:rPr>
        <w:t xml:space="preserve">primary ion beam accelerated to 10kV with an intensity ranging between 6.9-11.7nA and a spot size ranging between 20-24µm, with a depth of ~2-3 microns. Thirteen to twenty-nine grains were analyzed from each sample with each spot analysis the average of 6 scans through 16 mass stations. Before each analysis, the sample surface was cleaned by </w:t>
      </w:r>
      <w:proofErr w:type="spellStart"/>
      <w:r w:rsidRPr="00850CF6">
        <w:rPr>
          <w:rFonts w:eastAsia="Calibri"/>
          <w:szCs w:val="22"/>
        </w:rPr>
        <w:t>rastering</w:t>
      </w:r>
      <w:proofErr w:type="spellEnd"/>
      <w:r w:rsidRPr="00850CF6">
        <w:rPr>
          <w:rFonts w:eastAsia="Calibri"/>
          <w:szCs w:val="22"/>
        </w:rPr>
        <w:t xml:space="preserve"> the primary beam for 60 seconds to remove surficial common </w:t>
      </w:r>
      <w:proofErr w:type="spellStart"/>
      <w:r w:rsidRPr="00850CF6">
        <w:rPr>
          <w:rFonts w:eastAsia="Calibri"/>
          <w:szCs w:val="22"/>
        </w:rPr>
        <w:t>Pb</w:t>
      </w:r>
      <w:proofErr w:type="spellEnd"/>
      <w:r w:rsidRPr="00850CF6">
        <w:rPr>
          <w:rFonts w:eastAsia="Calibri"/>
          <w:szCs w:val="22"/>
        </w:rPr>
        <w:t xml:space="preserve">. The primary and secondary beams were simultaneously auto-tuned to maximize transmission. The acquisition routine included analysis of </w:t>
      </w:r>
      <w:r w:rsidRPr="00850CF6">
        <w:rPr>
          <w:rFonts w:eastAsia="Calibri"/>
          <w:szCs w:val="22"/>
          <w:vertAlign w:val="superscript"/>
        </w:rPr>
        <w:t>30</w:t>
      </w:r>
      <w:r w:rsidRPr="00850CF6">
        <w:rPr>
          <w:rFonts w:eastAsia="Calibri"/>
          <w:szCs w:val="22"/>
        </w:rPr>
        <w:t>Si</w:t>
      </w:r>
      <w:r w:rsidRPr="00850CF6">
        <w:rPr>
          <w:rFonts w:eastAsia="Calibri"/>
          <w:szCs w:val="22"/>
          <w:vertAlign w:val="superscript"/>
        </w:rPr>
        <w:t>16</w:t>
      </w:r>
      <w:r w:rsidRPr="00850CF6">
        <w:rPr>
          <w:rFonts w:eastAsia="Calibri"/>
          <w:szCs w:val="22"/>
        </w:rPr>
        <w:t>O</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48</w:t>
      </w:r>
      <w:r w:rsidRPr="00850CF6">
        <w:rPr>
          <w:rFonts w:eastAsia="Calibri"/>
          <w:szCs w:val="22"/>
        </w:rPr>
        <w:t>Ti</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56</w:t>
      </w:r>
      <w:r w:rsidRPr="00850CF6">
        <w:rPr>
          <w:rFonts w:eastAsia="Calibri"/>
          <w:szCs w:val="22"/>
        </w:rPr>
        <w:t>Fe</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89</w:t>
      </w:r>
      <w:r w:rsidRPr="00850CF6">
        <w:rPr>
          <w:rFonts w:eastAsia="Calibri"/>
          <w:szCs w:val="22"/>
        </w:rPr>
        <w:t>Y</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155</w:t>
      </w:r>
      <w:r w:rsidRPr="00850CF6">
        <w:rPr>
          <w:rFonts w:eastAsia="Calibri"/>
          <w:szCs w:val="22"/>
        </w:rPr>
        <w:t>Gd</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172</w:t>
      </w:r>
      <w:r w:rsidRPr="00850CF6">
        <w:rPr>
          <w:rFonts w:eastAsia="Calibri"/>
          <w:szCs w:val="22"/>
        </w:rPr>
        <w:t>Yb</w:t>
      </w:r>
      <w:r w:rsidRPr="00850CF6">
        <w:rPr>
          <w:rFonts w:eastAsia="Calibri"/>
          <w:szCs w:val="22"/>
          <w:vertAlign w:val="superscript"/>
        </w:rPr>
        <w:t>16</w:t>
      </w:r>
      <w:r w:rsidRPr="00850CF6">
        <w:rPr>
          <w:rFonts w:eastAsia="Calibri"/>
          <w:szCs w:val="22"/>
        </w:rPr>
        <w:t>O</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90</w:t>
      </w:r>
      <w:r w:rsidRPr="00850CF6">
        <w:rPr>
          <w:rFonts w:eastAsia="Calibri"/>
          <w:szCs w:val="22"/>
        </w:rPr>
        <w:t>Zr</w:t>
      </w:r>
      <w:r w:rsidRPr="00850CF6">
        <w:rPr>
          <w:rFonts w:eastAsia="Calibri"/>
          <w:szCs w:val="22"/>
          <w:vertAlign w:val="subscript"/>
        </w:rPr>
        <w:t>2</w:t>
      </w:r>
      <w:r w:rsidRPr="00850CF6">
        <w:rPr>
          <w:rFonts w:eastAsia="Calibri"/>
          <w:szCs w:val="22"/>
          <w:vertAlign w:val="superscript"/>
        </w:rPr>
        <w:t>16</w:t>
      </w:r>
      <w:r w:rsidRPr="00850CF6">
        <w:rPr>
          <w:rFonts w:eastAsia="Calibri"/>
          <w:szCs w:val="22"/>
        </w:rPr>
        <w:t>O</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lastRenderedPageBreak/>
        <w:t>180</w:t>
      </w:r>
      <w:r w:rsidRPr="00850CF6">
        <w:rPr>
          <w:rFonts w:eastAsia="Calibri"/>
          <w:szCs w:val="22"/>
        </w:rPr>
        <w:t>Hf</w:t>
      </w:r>
      <w:r w:rsidRPr="00850CF6">
        <w:rPr>
          <w:rFonts w:eastAsia="Calibri"/>
          <w:szCs w:val="22"/>
          <w:vertAlign w:val="superscript"/>
        </w:rPr>
        <w:t>16</w:t>
      </w:r>
      <w:r w:rsidRPr="00850CF6">
        <w:rPr>
          <w:rFonts w:eastAsia="Calibri"/>
          <w:szCs w:val="22"/>
        </w:rPr>
        <w:t>O</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204</w:t>
      </w:r>
      <w:r w:rsidRPr="00850CF6">
        <w:rPr>
          <w:rFonts w:eastAsia="Calibri"/>
          <w:szCs w:val="22"/>
        </w:rPr>
        <w:t>Pb</w:t>
      </w:r>
      <w:r w:rsidRPr="00850CF6">
        <w:rPr>
          <w:rFonts w:eastAsia="Calibri"/>
          <w:szCs w:val="22"/>
          <w:vertAlign w:val="superscript"/>
        </w:rPr>
        <w:t>+</w:t>
      </w:r>
      <w:r w:rsidRPr="00850CF6">
        <w:rPr>
          <w:rFonts w:eastAsia="Calibri"/>
          <w:szCs w:val="22"/>
        </w:rPr>
        <w:t xml:space="preserve">, a background measured at 0.046 mass units above the </w:t>
      </w:r>
      <w:r w:rsidRPr="00850CF6">
        <w:rPr>
          <w:rFonts w:eastAsia="Calibri"/>
          <w:szCs w:val="22"/>
          <w:vertAlign w:val="superscript"/>
        </w:rPr>
        <w:t>204</w:t>
      </w:r>
      <w:r w:rsidRPr="00850CF6">
        <w:rPr>
          <w:rFonts w:eastAsia="Calibri"/>
          <w:szCs w:val="22"/>
        </w:rPr>
        <w:t>Pb</w:t>
      </w:r>
      <w:r w:rsidRPr="00850CF6">
        <w:rPr>
          <w:rFonts w:eastAsia="Calibri"/>
          <w:szCs w:val="22"/>
          <w:vertAlign w:val="superscript"/>
        </w:rPr>
        <w:t>+</w:t>
      </w:r>
      <w:r w:rsidRPr="00850CF6">
        <w:rPr>
          <w:rFonts w:eastAsia="Calibri"/>
          <w:szCs w:val="22"/>
        </w:rPr>
        <w:t xml:space="preserve"> peak, </w:t>
      </w:r>
      <w:r w:rsidRPr="00850CF6">
        <w:rPr>
          <w:rFonts w:eastAsia="Calibri"/>
          <w:szCs w:val="22"/>
          <w:vertAlign w:val="superscript"/>
        </w:rPr>
        <w:t>206</w:t>
      </w:r>
      <w:r w:rsidRPr="00850CF6">
        <w:rPr>
          <w:rFonts w:eastAsia="Calibri"/>
          <w:szCs w:val="22"/>
        </w:rPr>
        <w:t>Pb</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207</w:t>
      </w:r>
      <w:r w:rsidRPr="00850CF6">
        <w:rPr>
          <w:rFonts w:eastAsia="Calibri"/>
          <w:szCs w:val="22"/>
        </w:rPr>
        <w:t>Pb</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208</w:t>
      </w:r>
      <w:r w:rsidRPr="00850CF6">
        <w:rPr>
          <w:rFonts w:eastAsia="Calibri"/>
          <w:szCs w:val="22"/>
        </w:rPr>
        <w:t>Pb</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238</w:t>
      </w:r>
      <w:r w:rsidRPr="00850CF6">
        <w:rPr>
          <w:rFonts w:eastAsia="Calibri"/>
          <w:szCs w:val="22"/>
        </w:rPr>
        <w:t>U</w:t>
      </w:r>
      <w:r w:rsidRPr="00850CF6">
        <w:rPr>
          <w:rFonts w:eastAsia="Calibri"/>
          <w:szCs w:val="22"/>
          <w:vertAlign w:val="superscript"/>
        </w:rPr>
        <w:t>+</w:t>
      </w:r>
      <w:r w:rsidRPr="00850CF6">
        <w:rPr>
          <w:rFonts w:eastAsia="Calibri"/>
          <w:szCs w:val="22"/>
        </w:rPr>
        <w:t xml:space="preserve">, </w:t>
      </w:r>
      <w:r w:rsidRPr="00850CF6">
        <w:rPr>
          <w:rFonts w:eastAsia="Calibri"/>
          <w:szCs w:val="22"/>
          <w:vertAlign w:val="superscript"/>
        </w:rPr>
        <w:t>232</w:t>
      </w:r>
      <w:r w:rsidRPr="00850CF6">
        <w:rPr>
          <w:rFonts w:eastAsia="Calibri"/>
          <w:szCs w:val="22"/>
        </w:rPr>
        <w:t>Th</w:t>
      </w:r>
      <w:r w:rsidRPr="00850CF6">
        <w:rPr>
          <w:rFonts w:eastAsia="Calibri"/>
          <w:szCs w:val="22"/>
          <w:vertAlign w:val="superscript"/>
        </w:rPr>
        <w:t>16</w:t>
      </w:r>
      <w:r w:rsidRPr="00850CF6">
        <w:rPr>
          <w:rFonts w:eastAsia="Calibri"/>
          <w:szCs w:val="22"/>
        </w:rPr>
        <w:t>O</w:t>
      </w:r>
      <w:r w:rsidRPr="00850CF6">
        <w:rPr>
          <w:rFonts w:eastAsia="Calibri"/>
          <w:szCs w:val="22"/>
          <w:vertAlign w:val="superscript"/>
        </w:rPr>
        <w:t>+</w:t>
      </w:r>
      <w:r w:rsidRPr="00850CF6">
        <w:rPr>
          <w:rFonts w:eastAsia="Calibri"/>
          <w:szCs w:val="22"/>
        </w:rPr>
        <w:t xml:space="preserve">, and </w:t>
      </w:r>
      <w:r w:rsidRPr="00850CF6">
        <w:rPr>
          <w:rFonts w:eastAsia="Calibri"/>
          <w:szCs w:val="22"/>
          <w:vertAlign w:val="superscript"/>
        </w:rPr>
        <w:t>238</w:t>
      </w:r>
      <w:r w:rsidRPr="00850CF6">
        <w:rPr>
          <w:rFonts w:eastAsia="Calibri"/>
          <w:szCs w:val="22"/>
        </w:rPr>
        <w:t>U</w:t>
      </w:r>
      <w:r w:rsidRPr="00850CF6">
        <w:rPr>
          <w:rFonts w:eastAsia="Calibri"/>
          <w:szCs w:val="22"/>
          <w:vertAlign w:val="superscript"/>
        </w:rPr>
        <w:t>16</w:t>
      </w:r>
      <w:r w:rsidRPr="00850CF6">
        <w:rPr>
          <w:rFonts w:eastAsia="Calibri"/>
          <w:szCs w:val="22"/>
        </w:rPr>
        <w:t>O</w:t>
      </w:r>
      <w:r w:rsidRPr="00850CF6">
        <w:rPr>
          <w:rFonts w:eastAsia="Calibri"/>
          <w:szCs w:val="22"/>
          <w:vertAlign w:val="superscript"/>
        </w:rPr>
        <w:t>+</w:t>
      </w:r>
      <w:r w:rsidRPr="00850CF6">
        <w:rPr>
          <w:rFonts w:eastAsia="Calibri"/>
          <w:szCs w:val="22"/>
        </w:rPr>
        <w:t xml:space="preserve"> stepping sequentially through the mass sequence from 46 to 254. Trace element measurements are measured briefly (typically 0.5-2 seconds per analysis) mass order immediately before the geochronology peaks. All peaks are measured with 6 scans (peak-hopping cycles) through the mass sequence. Measurements were made at mass resolutions of M/DM = 9,200-9,600 (10% peak height), which fully separates interfering molecular species, particularly for the rare earth elements, from the isotope of interest. The high-abundance sensitivity and high mass resolution of the SHRIMP-RG, in addition to </w:t>
      </w:r>
      <w:proofErr w:type="spellStart"/>
      <w:r w:rsidRPr="00850CF6">
        <w:rPr>
          <w:rFonts w:eastAsia="Calibri"/>
          <w:szCs w:val="22"/>
        </w:rPr>
        <w:t>HCl</w:t>
      </w:r>
      <w:proofErr w:type="spellEnd"/>
      <w:r w:rsidRPr="00850CF6">
        <w:rPr>
          <w:rFonts w:eastAsia="Calibri"/>
          <w:szCs w:val="22"/>
        </w:rPr>
        <w:t xml:space="preserve"> washing of the mount and </w:t>
      </w:r>
      <w:proofErr w:type="spellStart"/>
      <w:r w:rsidRPr="00850CF6">
        <w:rPr>
          <w:rFonts w:eastAsia="Calibri"/>
          <w:szCs w:val="22"/>
        </w:rPr>
        <w:t>rastering</w:t>
      </w:r>
      <w:proofErr w:type="spellEnd"/>
      <w:r w:rsidRPr="00850CF6">
        <w:rPr>
          <w:rFonts w:eastAsia="Calibri"/>
          <w:szCs w:val="22"/>
        </w:rPr>
        <w:t xml:space="preserve"> the area before data collection assures that the background count-rates are low and any counts found at mass of </w:t>
      </w:r>
      <w:r w:rsidRPr="00850CF6">
        <w:rPr>
          <w:rFonts w:eastAsia="Calibri"/>
          <w:szCs w:val="22"/>
          <w:vertAlign w:val="superscript"/>
        </w:rPr>
        <w:t>204</w:t>
      </w:r>
      <w:r w:rsidRPr="00850CF6">
        <w:rPr>
          <w:rFonts w:eastAsia="Calibri"/>
          <w:szCs w:val="22"/>
        </w:rPr>
        <w:t>Pb</w:t>
      </w:r>
      <w:r w:rsidRPr="00850CF6">
        <w:rPr>
          <w:rFonts w:eastAsia="Calibri"/>
          <w:szCs w:val="22"/>
          <w:vertAlign w:val="superscript"/>
        </w:rPr>
        <w:t>+</w:t>
      </w:r>
      <w:r w:rsidRPr="00850CF6">
        <w:rPr>
          <w:rFonts w:eastAsia="Calibri"/>
          <w:szCs w:val="22"/>
        </w:rPr>
        <w:t xml:space="preserve"> are actually from </w:t>
      </w:r>
      <w:proofErr w:type="spellStart"/>
      <w:r w:rsidRPr="00850CF6">
        <w:rPr>
          <w:rFonts w:eastAsia="Calibri"/>
          <w:szCs w:val="22"/>
        </w:rPr>
        <w:t>Pb</w:t>
      </w:r>
      <w:proofErr w:type="spellEnd"/>
      <w:r w:rsidRPr="00850CF6">
        <w:rPr>
          <w:rFonts w:eastAsia="Calibri"/>
          <w:szCs w:val="22"/>
        </w:rPr>
        <w:t xml:space="preserve"> in the zircon and not surface contamination. </w:t>
      </w:r>
    </w:p>
    <w:p w:rsidR="00E42592" w:rsidRPr="00850CF6" w:rsidRDefault="00E42592" w:rsidP="00E42592">
      <w:pPr>
        <w:tabs>
          <w:tab w:val="left" w:pos="1440"/>
        </w:tabs>
        <w:rPr>
          <w:rFonts w:eastAsia="Calibri"/>
          <w:szCs w:val="22"/>
          <w:lang w:eastAsia="de-DE"/>
        </w:rPr>
      </w:pPr>
      <w:r w:rsidRPr="00850CF6">
        <w:rPr>
          <w:rFonts w:eastAsia="Calibri"/>
          <w:szCs w:val="22"/>
          <w:lang w:eastAsia="de-DE"/>
        </w:rPr>
        <w:t xml:space="preserve">Data reduction for geochronology follows the methods described by Ireland and Williams </w:t>
      </w:r>
      <w:r w:rsidRPr="00561C47">
        <w:rPr>
          <w:rFonts w:eastAsia="Calibri"/>
          <w:szCs w:val="22"/>
          <w:lang w:eastAsia="de-DE"/>
        </w:rPr>
        <w:t>(2003)</w:t>
      </w:r>
      <w:r w:rsidRPr="00850CF6">
        <w:rPr>
          <w:rFonts w:eastAsia="Calibri"/>
          <w:szCs w:val="22"/>
          <w:lang w:eastAsia="de-DE"/>
        </w:rPr>
        <w:t xml:space="preserve"> using the Microsoft Excel add-in programs Squid 2.5 and </w:t>
      </w:r>
      <w:proofErr w:type="spellStart"/>
      <w:r w:rsidRPr="00850CF6">
        <w:rPr>
          <w:rFonts w:eastAsia="Calibri"/>
          <w:szCs w:val="22"/>
          <w:lang w:eastAsia="de-DE"/>
        </w:rPr>
        <w:t>Isoplot</w:t>
      </w:r>
      <w:proofErr w:type="spellEnd"/>
      <w:r w:rsidRPr="00850CF6">
        <w:rPr>
          <w:rFonts w:eastAsia="Calibri"/>
          <w:szCs w:val="22"/>
          <w:lang w:eastAsia="de-DE"/>
        </w:rPr>
        <w:t xml:space="preserve"> 4.</w:t>
      </w:r>
      <w:r w:rsidRPr="00561C47">
        <w:t xml:space="preserve"> </w:t>
      </w:r>
      <w:proofErr w:type="gramStart"/>
      <w:r>
        <w:rPr>
          <w:rFonts w:eastAsia="Calibri"/>
          <w:szCs w:val="22"/>
          <w:lang w:eastAsia="de-DE"/>
        </w:rPr>
        <w:t>1 (Ludwig, 2012</w:t>
      </w:r>
      <w:r w:rsidRPr="00561C47">
        <w:rPr>
          <w:rFonts w:eastAsia="Calibri"/>
          <w:szCs w:val="22"/>
          <w:lang w:eastAsia="de-DE"/>
        </w:rPr>
        <w:t>)</w:t>
      </w:r>
      <w:r w:rsidRPr="00850CF6">
        <w:rPr>
          <w:rFonts w:eastAsia="Calibri"/>
          <w:szCs w:val="22"/>
          <w:lang w:eastAsia="de-DE"/>
        </w:rPr>
        <w:t>.</w:t>
      </w:r>
      <w:proofErr w:type="gramEnd"/>
      <w:r w:rsidRPr="00850CF6">
        <w:rPr>
          <w:rFonts w:eastAsia="Calibri"/>
          <w:szCs w:val="22"/>
          <w:lang w:eastAsia="de-DE"/>
        </w:rPr>
        <w:t xml:space="preserve"> U-</w:t>
      </w:r>
      <w:proofErr w:type="spellStart"/>
      <w:r w:rsidRPr="00850CF6">
        <w:rPr>
          <w:rFonts w:eastAsia="Calibri"/>
          <w:szCs w:val="22"/>
          <w:lang w:eastAsia="de-DE"/>
        </w:rPr>
        <w:t>Pb</w:t>
      </w:r>
      <w:proofErr w:type="spellEnd"/>
      <w:r w:rsidRPr="00850CF6">
        <w:rPr>
          <w:rFonts w:eastAsia="Calibri"/>
          <w:szCs w:val="22"/>
          <w:lang w:eastAsia="de-DE"/>
        </w:rPr>
        <w:t xml:space="preserve"> calibration constant for zircon was calculated based on the variation of </w:t>
      </w:r>
      <w:proofErr w:type="gramStart"/>
      <w:r w:rsidRPr="00850CF6">
        <w:rPr>
          <w:rFonts w:eastAsia="Calibri"/>
          <w:i/>
          <w:szCs w:val="22"/>
          <w:lang w:eastAsia="de-DE"/>
        </w:rPr>
        <w:t>ln</w:t>
      </w:r>
      <w:r w:rsidRPr="00850CF6">
        <w:rPr>
          <w:rFonts w:eastAsia="Calibri"/>
          <w:szCs w:val="22"/>
          <w:lang w:eastAsia="de-DE"/>
        </w:rPr>
        <w:t>(</w:t>
      </w:r>
      <w:proofErr w:type="gramEnd"/>
      <w:r w:rsidRPr="00850CF6">
        <w:rPr>
          <w:rFonts w:eastAsia="Calibri"/>
          <w:szCs w:val="22"/>
          <w:lang w:eastAsia="de-DE"/>
        </w:rPr>
        <w:t xml:space="preserve">UO/U) vs. </w:t>
      </w:r>
      <w:r w:rsidRPr="00850CF6">
        <w:rPr>
          <w:rFonts w:eastAsia="Calibri"/>
          <w:i/>
          <w:szCs w:val="22"/>
          <w:lang w:eastAsia="de-DE"/>
        </w:rPr>
        <w:t>ln</w:t>
      </w:r>
      <w:r w:rsidRPr="00850CF6">
        <w:rPr>
          <w:rFonts w:eastAsia="Calibri"/>
          <w:szCs w:val="22"/>
          <w:lang w:eastAsia="de-DE"/>
        </w:rPr>
        <w:t>(</w:t>
      </w:r>
      <w:proofErr w:type="spellStart"/>
      <w:r w:rsidRPr="00850CF6">
        <w:rPr>
          <w:rFonts w:eastAsia="Calibri"/>
          <w:szCs w:val="22"/>
          <w:lang w:eastAsia="de-DE"/>
        </w:rPr>
        <w:t>Pb</w:t>
      </w:r>
      <w:proofErr w:type="spellEnd"/>
      <w:r w:rsidRPr="00850CF6">
        <w:rPr>
          <w:rFonts w:eastAsia="Calibri"/>
          <w:szCs w:val="22"/>
          <w:lang w:eastAsia="de-DE"/>
        </w:rPr>
        <w:t xml:space="preserve">/U) of the standard Temora-2 measured during the analytical session with a fixed slope of 2. The measured </w:t>
      </w:r>
      <w:r w:rsidRPr="00850CF6">
        <w:rPr>
          <w:rFonts w:eastAsia="Calibri"/>
          <w:szCs w:val="22"/>
          <w:vertAlign w:val="superscript"/>
          <w:lang w:eastAsia="de-DE"/>
        </w:rPr>
        <w:t>206</w:t>
      </w:r>
      <w:r w:rsidRPr="00850CF6">
        <w:rPr>
          <w:rFonts w:eastAsia="Calibri"/>
          <w:szCs w:val="22"/>
          <w:lang w:eastAsia="de-DE"/>
        </w:rPr>
        <w:t>Pb/</w:t>
      </w:r>
      <w:r w:rsidRPr="00850CF6">
        <w:rPr>
          <w:rFonts w:eastAsia="Calibri"/>
          <w:szCs w:val="22"/>
          <w:vertAlign w:val="superscript"/>
          <w:lang w:eastAsia="de-DE"/>
        </w:rPr>
        <w:t>238</w:t>
      </w:r>
      <w:r w:rsidRPr="00850CF6">
        <w:rPr>
          <w:rFonts w:eastAsia="Calibri"/>
          <w:szCs w:val="22"/>
          <w:lang w:eastAsia="de-DE"/>
        </w:rPr>
        <w:t xml:space="preserve">U was corrected for common </w:t>
      </w:r>
      <w:proofErr w:type="spellStart"/>
      <w:r w:rsidRPr="00850CF6">
        <w:rPr>
          <w:rFonts w:eastAsia="Calibri"/>
          <w:szCs w:val="22"/>
          <w:lang w:eastAsia="de-DE"/>
        </w:rPr>
        <w:t>Pb</w:t>
      </w:r>
      <w:proofErr w:type="spellEnd"/>
      <w:r w:rsidRPr="00850CF6">
        <w:rPr>
          <w:rFonts w:eastAsia="Calibri"/>
          <w:szCs w:val="22"/>
          <w:lang w:eastAsia="de-DE"/>
        </w:rPr>
        <w:t xml:space="preserve"> using </w:t>
      </w:r>
      <w:r w:rsidRPr="00850CF6">
        <w:rPr>
          <w:rFonts w:eastAsia="Calibri"/>
          <w:szCs w:val="22"/>
          <w:vertAlign w:val="superscript"/>
          <w:lang w:eastAsia="de-DE"/>
        </w:rPr>
        <w:t>207</w:t>
      </w:r>
      <w:r w:rsidRPr="00850CF6">
        <w:rPr>
          <w:rFonts w:eastAsia="Calibri"/>
          <w:szCs w:val="22"/>
          <w:lang w:eastAsia="de-DE"/>
        </w:rPr>
        <w:t xml:space="preserve">Pb, whereas </w:t>
      </w:r>
      <w:r w:rsidRPr="00850CF6">
        <w:rPr>
          <w:rFonts w:eastAsia="Calibri"/>
          <w:szCs w:val="22"/>
          <w:vertAlign w:val="superscript"/>
          <w:lang w:val="en-GB" w:eastAsia="de-AT"/>
        </w:rPr>
        <w:t>207</w:t>
      </w:r>
      <w:r w:rsidRPr="00850CF6">
        <w:rPr>
          <w:rFonts w:eastAsia="Calibri"/>
          <w:szCs w:val="22"/>
          <w:lang w:val="en-GB" w:eastAsia="de-AT"/>
        </w:rPr>
        <w:t>Pb/</w:t>
      </w:r>
      <w:r w:rsidRPr="00850CF6">
        <w:rPr>
          <w:rFonts w:eastAsia="Calibri"/>
          <w:szCs w:val="22"/>
          <w:vertAlign w:val="superscript"/>
          <w:lang w:val="en-GB" w:eastAsia="de-AT"/>
        </w:rPr>
        <w:t>206</w:t>
      </w:r>
      <w:r w:rsidRPr="00850CF6">
        <w:rPr>
          <w:rFonts w:eastAsia="Calibri"/>
          <w:szCs w:val="22"/>
          <w:lang w:val="en-GB" w:eastAsia="de-AT"/>
        </w:rPr>
        <w:t xml:space="preserve">Pb was corrected using </w:t>
      </w:r>
      <w:r w:rsidRPr="00850CF6">
        <w:rPr>
          <w:rFonts w:eastAsia="Calibri"/>
          <w:szCs w:val="22"/>
          <w:vertAlign w:val="superscript"/>
          <w:lang w:val="en-GB" w:eastAsia="de-AT"/>
        </w:rPr>
        <w:t>204</w:t>
      </w:r>
      <w:r w:rsidRPr="00850CF6">
        <w:rPr>
          <w:rFonts w:eastAsia="Calibri"/>
          <w:szCs w:val="22"/>
          <w:lang w:val="en-GB" w:eastAsia="de-AT"/>
        </w:rPr>
        <w:t>Pb.</w:t>
      </w:r>
      <w:r w:rsidRPr="00850CF6">
        <w:rPr>
          <w:rFonts w:eastAsia="Calibri"/>
          <w:szCs w:val="22"/>
          <w:lang w:eastAsia="de-DE"/>
        </w:rPr>
        <w:t xml:space="preserve"> The common-</w:t>
      </w:r>
      <w:proofErr w:type="spellStart"/>
      <w:r w:rsidRPr="00850CF6">
        <w:rPr>
          <w:rFonts w:eastAsia="Calibri"/>
          <w:szCs w:val="22"/>
          <w:lang w:eastAsia="de-DE"/>
        </w:rPr>
        <w:t>Pb</w:t>
      </w:r>
      <w:proofErr w:type="spellEnd"/>
      <w:r w:rsidRPr="00850CF6">
        <w:rPr>
          <w:rFonts w:eastAsia="Calibri"/>
          <w:szCs w:val="22"/>
          <w:lang w:eastAsia="de-DE"/>
        </w:rPr>
        <w:t xml:space="preserve"> correction was based on a model </w:t>
      </w:r>
      <w:proofErr w:type="spellStart"/>
      <w:r w:rsidRPr="00850CF6">
        <w:rPr>
          <w:rFonts w:eastAsia="Calibri"/>
          <w:szCs w:val="22"/>
          <w:lang w:eastAsia="de-DE"/>
        </w:rPr>
        <w:t>Pb</w:t>
      </w:r>
      <w:proofErr w:type="spellEnd"/>
      <w:r w:rsidRPr="00850CF6">
        <w:rPr>
          <w:rFonts w:eastAsia="Calibri"/>
          <w:szCs w:val="22"/>
          <w:lang w:eastAsia="de-DE"/>
        </w:rPr>
        <w:t xml:space="preserve"> composition from Stacey and </w:t>
      </w:r>
      <w:proofErr w:type="spellStart"/>
      <w:r w:rsidRPr="00850CF6">
        <w:rPr>
          <w:rFonts w:eastAsia="Calibri"/>
          <w:szCs w:val="22"/>
          <w:lang w:eastAsia="de-DE"/>
        </w:rPr>
        <w:t>Kramers</w:t>
      </w:r>
      <w:proofErr w:type="spellEnd"/>
      <w:r w:rsidRPr="00850CF6">
        <w:rPr>
          <w:rFonts w:eastAsia="Calibri"/>
          <w:szCs w:val="22"/>
          <w:lang w:eastAsia="de-DE"/>
        </w:rPr>
        <w:t xml:space="preserve"> </w:t>
      </w:r>
      <w:r w:rsidRPr="00561C47">
        <w:rPr>
          <w:rFonts w:eastAsia="Calibri"/>
          <w:szCs w:val="22"/>
          <w:lang w:eastAsia="de-DE"/>
        </w:rPr>
        <w:t>(1975)</w:t>
      </w:r>
      <w:r w:rsidRPr="00850CF6">
        <w:rPr>
          <w:rFonts w:eastAsia="Calibri"/>
          <w:szCs w:val="22"/>
          <w:lang w:eastAsia="de-DE"/>
        </w:rPr>
        <w:t>; no additional error was propagated from the uncertainty in the model common-</w:t>
      </w:r>
      <w:proofErr w:type="spellStart"/>
      <w:r w:rsidRPr="00850CF6">
        <w:rPr>
          <w:rFonts w:eastAsia="Calibri"/>
          <w:szCs w:val="22"/>
          <w:lang w:eastAsia="de-DE"/>
        </w:rPr>
        <w:t>Pb</w:t>
      </w:r>
      <w:proofErr w:type="spellEnd"/>
      <w:r w:rsidRPr="00850CF6">
        <w:rPr>
          <w:rFonts w:eastAsia="Calibri"/>
          <w:szCs w:val="22"/>
          <w:lang w:eastAsia="de-DE"/>
        </w:rPr>
        <w:t xml:space="preserve"> composition. Calculated ages for zircon are standardized relative to Temora-2 (416.8 Ma;</w:t>
      </w:r>
      <w:r w:rsidRPr="00561C47">
        <w:rPr>
          <w:rFonts w:eastAsia="Calibri"/>
          <w:szCs w:val="22"/>
          <w:lang w:eastAsia="de-DE"/>
        </w:rPr>
        <w:t xml:space="preserve"> Black et al. 2004)</w:t>
      </w:r>
      <w:r w:rsidRPr="00850CF6">
        <w:rPr>
          <w:rFonts w:eastAsia="Calibri"/>
          <w:szCs w:val="22"/>
          <w:lang w:eastAsia="de-DE"/>
        </w:rPr>
        <w:t>, analyzed every 4</w:t>
      </w:r>
      <w:r w:rsidRPr="00850CF6">
        <w:rPr>
          <w:rFonts w:eastAsia="Calibri"/>
          <w:szCs w:val="22"/>
          <w:vertAlign w:val="superscript"/>
          <w:lang w:eastAsia="de-DE"/>
        </w:rPr>
        <w:t>th</w:t>
      </w:r>
      <w:r w:rsidRPr="00850CF6">
        <w:rPr>
          <w:rFonts w:eastAsia="Calibri"/>
          <w:szCs w:val="22"/>
          <w:lang w:eastAsia="de-DE"/>
        </w:rPr>
        <w:t xml:space="preserve"> analysis throughout the duration of the analytical session.</w:t>
      </w:r>
    </w:p>
    <w:p w:rsidR="00E42592" w:rsidRPr="00FF2265" w:rsidRDefault="00E42592" w:rsidP="00E42592">
      <w:pPr>
        <w:widowControl w:val="0"/>
        <w:tabs>
          <w:tab w:val="left" w:pos="1440"/>
        </w:tabs>
        <w:autoSpaceDE w:val="0"/>
        <w:autoSpaceDN w:val="0"/>
        <w:adjustRightInd w:val="0"/>
        <w:rPr>
          <w:rFonts w:eastAsia="Calibri"/>
          <w:szCs w:val="22"/>
        </w:rPr>
      </w:pPr>
      <w:r w:rsidRPr="00FF2265">
        <w:rPr>
          <w:rFonts w:eastAsia="Calibri"/>
          <w:szCs w:val="22"/>
        </w:rPr>
        <w:t>Measured, uncorrected U-</w:t>
      </w:r>
      <w:proofErr w:type="spellStart"/>
      <w:r w:rsidRPr="00FF2265">
        <w:rPr>
          <w:rFonts w:eastAsia="Calibri"/>
          <w:szCs w:val="22"/>
        </w:rPr>
        <w:t>Pb</w:t>
      </w:r>
      <w:proofErr w:type="spellEnd"/>
      <w:r w:rsidRPr="00FF2265">
        <w:rPr>
          <w:rFonts w:eastAsia="Calibri"/>
          <w:szCs w:val="22"/>
        </w:rPr>
        <w:t xml:space="preserve"> isotopic ratios are plotted on Tera-</w:t>
      </w:r>
      <w:proofErr w:type="spellStart"/>
      <w:r w:rsidRPr="00FF2265">
        <w:rPr>
          <w:rFonts w:eastAsia="Calibri"/>
          <w:szCs w:val="22"/>
        </w:rPr>
        <w:t>Wasserburg</w:t>
      </w:r>
      <w:proofErr w:type="spellEnd"/>
      <w:r w:rsidRPr="00FF2265">
        <w:rPr>
          <w:rFonts w:eastAsia="Calibri"/>
          <w:szCs w:val="22"/>
        </w:rPr>
        <w:t xml:space="preserve"> </w:t>
      </w:r>
      <w:proofErr w:type="spellStart"/>
      <w:r w:rsidRPr="00FF2265">
        <w:rPr>
          <w:rFonts w:eastAsia="Calibri"/>
          <w:szCs w:val="22"/>
        </w:rPr>
        <w:t>concordia</w:t>
      </w:r>
      <w:proofErr w:type="spellEnd"/>
      <w:r w:rsidRPr="00FF2265">
        <w:rPr>
          <w:rFonts w:eastAsia="Calibri"/>
          <w:szCs w:val="22"/>
        </w:rPr>
        <w:t xml:space="preserve"> diagrams </w:t>
      </w:r>
      <w:r>
        <w:rPr>
          <w:rFonts w:eastAsia="Calibri"/>
          <w:szCs w:val="22"/>
        </w:rPr>
        <w:t xml:space="preserve">(Tera and </w:t>
      </w:r>
      <w:proofErr w:type="spellStart"/>
      <w:r>
        <w:rPr>
          <w:rFonts w:eastAsia="Calibri"/>
          <w:szCs w:val="22"/>
        </w:rPr>
        <w:t>Wasserburg</w:t>
      </w:r>
      <w:proofErr w:type="spellEnd"/>
      <w:r>
        <w:rPr>
          <w:rFonts w:eastAsia="Calibri"/>
          <w:szCs w:val="22"/>
        </w:rPr>
        <w:t>, 1972)</w:t>
      </w:r>
      <w:r w:rsidRPr="00FF2265">
        <w:rPr>
          <w:rFonts w:eastAsia="Calibri"/>
          <w:szCs w:val="22"/>
        </w:rPr>
        <w:t xml:space="preserve">, as they afford a more reliable means for evaluating the coherency of spot analyses than conventional </w:t>
      </w:r>
      <w:proofErr w:type="spellStart"/>
      <w:r w:rsidRPr="00FF2265">
        <w:rPr>
          <w:rFonts w:eastAsia="Calibri"/>
          <w:szCs w:val="22"/>
        </w:rPr>
        <w:t>concordia</w:t>
      </w:r>
      <w:proofErr w:type="spellEnd"/>
      <w:r w:rsidRPr="00FF2265">
        <w:rPr>
          <w:rFonts w:eastAsia="Calibri"/>
          <w:szCs w:val="22"/>
        </w:rPr>
        <w:t xml:space="preserve"> diagrams due to the young age. All ages quoted however are </w:t>
      </w:r>
      <w:r w:rsidRPr="00FF2265">
        <w:rPr>
          <w:rFonts w:eastAsia="Calibri"/>
          <w:szCs w:val="22"/>
          <w:vertAlign w:val="superscript"/>
        </w:rPr>
        <w:t>207</w:t>
      </w:r>
      <w:r w:rsidRPr="00FF2265">
        <w:rPr>
          <w:rFonts w:eastAsia="Calibri"/>
          <w:szCs w:val="22"/>
        </w:rPr>
        <w:t xml:space="preserve">Pb corrected weighted average </w:t>
      </w:r>
      <w:r w:rsidRPr="00FF2265">
        <w:rPr>
          <w:rFonts w:eastAsia="Calibri"/>
          <w:szCs w:val="22"/>
          <w:vertAlign w:val="superscript"/>
        </w:rPr>
        <w:t>206</w:t>
      </w:r>
      <w:r w:rsidRPr="00FF2265">
        <w:rPr>
          <w:rFonts w:eastAsia="Calibri"/>
          <w:szCs w:val="22"/>
        </w:rPr>
        <w:t>Pb/</w:t>
      </w:r>
      <w:r w:rsidRPr="00FF2265">
        <w:rPr>
          <w:rFonts w:eastAsia="Calibri"/>
          <w:szCs w:val="22"/>
          <w:vertAlign w:val="superscript"/>
        </w:rPr>
        <w:t>238</w:t>
      </w:r>
      <w:r w:rsidRPr="00FF2265">
        <w:rPr>
          <w:rFonts w:eastAsia="Calibri"/>
          <w:szCs w:val="22"/>
        </w:rPr>
        <w:t xml:space="preserve">U ages based on a linear York regression (Table 2; </w:t>
      </w:r>
      <w:r w:rsidRPr="00561C47">
        <w:rPr>
          <w:rFonts w:eastAsia="Calibri"/>
          <w:szCs w:val="22"/>
        </w:rPr>
        <w:t>York 1968).</w:t>
      </w:r>
      <w:r w:rsidRPr="00FF2265">
        <w:rPr>
          <w:rFonts w:eastAsia="Calibri"/>
          <w:szCs w:val="22"/>
        </w:rPr>
        <w:t xml:space="preserve"> We assume the calculated weighted mean ages for zircon from each dike represent crystallization ages at near</w:t>
      </w:r>
      <w:r>
        <w:rPr>
          <w:rFonts w:eastAsia="Calibri"/>
          <w:szCs w:val="22"/>
        </w:rPr>
        <w:t>-</w:t>
      </w:r>
      <w:r w:rsidRPr="00FF2265">
        <w:rPr>
          <w:rFonts w:eastAsia="Calibri"/>
          <w:szCs w:val="22"/>
        </w:rPr>
        <w:t xml:space="preserve">solidus conditions. </w:t>
      </w:r>
    </w:p>
    <w:p w:rsidR="00E42592" w:rsidRPr="00850CF6" w:rsidRDefault="00E42592" w:rsidP="00E42592">
      <w:pPr>
        <w:tabs>
          <w:tab w:val="left" w:pos="1440"/>
        </w:tabs>
        <w:rPr>
          <w:rFonts w:eastAsia="Calibri"/>
          <w:szCs w:val="22"/>
          <w:lang w:eastAsia="de-DE"/>
        </w:rPr>
      </w:pPr>
      <w:r w:rsidRPr="00850CF6">
        <w:rPr>
          <w:rFonts w:eastAsia="Calibri"/>
          <w:szCs w:val="22"/>
          <w:lang w:eastAsia="de-DE"/>
        </w:rPr>
        <w:t xml:space="preserve">All reported </w:t>
      </w:r>
      <w:r w:rsidRPr="00850CF6">
        <w:rPr>
          <w:rFonts w:eastAsia="Calibri"/>
          <w:szCs w:val="22"/>
          <w:vertAlign w:val="superscript"/>
          <w:lang w:eastAsia="de-DE"/>
        </w:rPr>
        <w:t>206</w:t>
      </w:r>
      <w:r w:rsidRPr="00850CF6">
        <w:rPr>
          <w:rFonts w:eastAsia="Calibri"/>
          <w:szCs w:val="22"/>
          <w:lang w:eastAsia="de-DE"/>
        </w:rPr>
        <w:t>Pb/</w:t>
      </w:r>
      <w:r w:rsidRPr="00850CF6">
        <w:rPr>
          <w:rFonts w:eastAsia="Calibri"/>
          <w:szCs w:val="22"/>
          <w:vertAlign w:val="superscript"/>
          <w:lang w:eastAsia="de-DE"/>
        </w:rPr>
        <w:t>238</w:t>
      </w:r>
      <w:r w:rsidRPr="00850CF6">
        <w:rPr>
          <w:rFonts w:eastAsia="Calibri"/>
          <w:szCs w:val="22"/>
          <w:lang w:eastAsia="de-DE"/>
        </w:rPr>
        <w:t xml:space="preserve">U </w:t>
      </w:r>
      <w:r w:rsidRPr="00850CF6">
        <w:rPr>
          <w:rFonts w:eastAsia="Calibri"/>
          <w:szCs w:val="22"/>
          <w:lang w:val="en-GB" w:eastAsia="de-AT"/>
        </w:rPr>
        <w:t xml:space="preserve">ages and </w:t>
      </w:r>
      <w:r w:rsidRPr="00850CF6">
        <w:rPr>
          <w:rFonts w:eastAsia="Calibri"/>
          <w:szCs w:val="22"/>
          <w:lang w:eastAsia="de-DE"/>
        </w:rPr>
        <w:t xml:space="preserve">uncertainties for individual analyses include error summed in quadrature from the external reproducibility (1σ standard deviation) of the standard Temora-2 during an individual analytical session (16-24 hours). The calculated weighted mean ages are reported at 2σ standard deviation and include uncertainty propagated from the standard error of the mean for the calculated calibration constant, derived from the reproducibility of the standards. </w:t>
      </w:r>
      <w:r w:rsidRPr="00850CF6">
        <w:rPr>
          <w:rFonts w:eastAsia="Calibri"/>
          <w:szCs w:val="22"/>
        </w:rPr>
        <w:t xml:space="preserve">Spots with &gt;85% common </w:t>
      </w:r>
      <w:r w:rsidRPr="00850CF6">
        <w:rPr>
          <w:rFonts w:eastAsia="Calibri"/>
          <w:szCs w:val="22"/>
          <w:vertAlign w:val="superscript"/>
        </w:rPr>
        <w:t>206</w:t>
      </w:r>
      <w:r w:rsidRPr="00850CF6">
        <w:rPr>
          <w:rFonts w:eastAsia="Calibri"/>
          <w:szCs w:val="22"/>
        </w:rPr>
        <w:t xml:space="preserve">Pb, overlap with fractures or inclusions are excluded as unreliable ages. </w:t>
      </w:r>
    </w:p>
    <w:p w:rsidR="00E42592" w:rsidRPr="00850CF6" w:rsidRDefault="00E42592" w:rsidP="00E42592">
      <w:pPr>
        <w:widowControl w:val="0"/>
        <w:tabs>
          <w:tab w:val="left" w:pos="1440"/>
        </w:tabs>
        <w:autoSpaceDE w:val="0"/>
        <w:autoSpaceDN w:val="0"/>
        <w:adjustRightInd w:val="0"/>
        <w:rPr>
          <w:rFonts w:eastAsia="Calibri"/>
          <w:szCs w:val="22"/>
        </w:rPr>
      </w:pPr>
      <w:r w:rsidRPr="00850CF6">
        <w:rPr>
          <w:rFonts w:eastAsia="Calibri"/>
          <w:szCs w:val="22"/>
        </w:rPr>
        <w:t>Concentrations of select trace elements (</w:t>
      </w:r>
      <w:proofErr w:type="spellStart"/>
      <w:r w:rsidRPr="00850CF6">
        <w:rPr>
          <w:rFonts w:eastAsia="Calibri"/>
          <w:szCs w:val="22"/>
          <w:lang w:eastAsia="de-DE"/>
        </w:rPr>
        <w:t>Ti</w:t>
      </w:r>
      <w:proofErr w:type="spellEnd"/>
      <w:r w:rsidRPr="00850CF6">
        <w:rPr>
          <w:rFonts w:eastAsia="Calibri"/>
          <w:szCs w:val="22"/>
          <w:lang w:eastAsia="de-DE"/>
        </w:rPr>
        <w:t xml:space="preserve">, Fe, Y, </w:t>
      </w:r>
      <w:proofErr w:type="spellStart"/>
      <w:r w:rsidRPr="00850CF6">
        <w:rPr>
          <w:rFonts w:eastAsia="Calibri"/>
          <w:szCs w:val="22"/>
          <w:lang w:eastAsia="de-DE"/>
        </w:rPr>
        <w:t>Gd</w:t>
      </w:r>
      <w:proofErr w:type="spellEnd"/>
      <w:r w:rsidRPr="00850CF6">
        <w:rPr>
          <w:rFonts w:eastAsia="Calibri"/>
          <w:szCs w:val="22"/>
          <w:lang w:eastAsia="de-DE"/>
        </w:rPr>
        <w:t xml:space="preserve">, </w:t>
      </w:r>
      <w:proofErr w:type="spellStart"/>
      <w:r w:rsidRPr="00850CF6">
        <w:rPr>
          <w:rFonts w:eastAsia="Calibri"/>
          <w:szCs w:val="22"/>
          <w:lang w:eastAsia="de-DE"/>
        </w:rPr>
        <w:t>Yb</w:t>
      </w:r>
      <w:proofErr w:type="spellEnd"/>
      <w:r w:rsidRPr="00850CF6">
        <w:rPr>
          <w:rFonts w:eastAsia="Calibri"/>
          <w:szCs w:val="22"/>
          <w:lang w:eastAsia="de-DE"/>
        </w:rPr>
        <w:t xml:space="preserve">, </w:t>
      </w:r>
      <w:proofErr w:type="spellStart"/>
      <w:r w:rsidRPr="00850CF6">
        <w:rPr>
          <w:rFonts w:eastAsia="Calibri"/>
          <w:szCs w:val="22"/>
          <w:lang w:eastAsia="de-DE"/>
        </w:rPr>
        <w:t>Hf</w:t>
      </w:r>
      <w:proofErr w:type="spellEnd"/>
      <w:r w:rsidRPr="00850CF6">
        <w:rPr>
          <w:rFonts w:eastAsia="Calibri"/>
          <w:szCs w:val="22"/>
          <w:lang w:eastAsia="de-DE"/>
        </w:rPr>
        <w:t xml:space="preserve">, U, and </w:t>
      </w:r>
      <w:proofErr w:type="spellStart"/>
      <w:r w:rsidRPr="00850CF6">
        <w:rPr>
          <w:rFonts w:eastAsia="Calibri"/>
          <w:szCs w:val="22"/>
          <w:lang w:eastAsia="de-DE"/>
        </w:rPr>
        <w:t>Th</w:t>
      </w:r>
      <w:proofErr w:type="spellEnd"/>
      <w:r w:rsidRPr="00850CF6">
        <w:rPr>
          <w:rFonts w:eastAsia="Calibri"/>
          <w:szCs w:val="22"/>
          <w:lang w:eastAsia="de-DE"/>
        </w:rPr>
        <w:t xml:space="preserve">) </w:t>
      </w:r>
      <w:r w:rsidRPr="00850CF6">
        <w:rPr>
          <w:rFonts w:eastAsia="Calibri"/>
          <w:szCs w:val="22"/>
        </w:rPr>
        <w:t>were measured and</w:t>
      </w:r>
      <w:r w:rsidRPr="00850CF6">
        <w:rPr>
          <w:rFonts w:eastAsia="Calibri"/>
          <w:szCs w:val="22"/>
          <w:lang w:eastAsia="de-DE"/>
        </w:rPr>
        <w:t xml:space="preserve"> standardized against the well-characterized, homogeneous in-house zircon standard MADDER, calibrated relative to MAD-green (4196 ppm U; </w:t>
      </w:r>
      <w:r w:rsidRPr="00561C47">
        <w:rPr>
          <w:rFonts w:eastAsia="Calibri"/>
          <w:szCs w:val="22"/>
          <w:lang w:eastAsia="de-DE"/>
        </w:rPr>
        <w:t>Barth and Wooden 2010)</w:t>
      </w:r>
      <w:r w:rsidRPr="00850CF6">
        <w:rPr>
          <w:rFonts w:eastAsia="Calibri"/>
          <w:szCs w:val="22"/>
          <w:lang w:eastAsia="de-DE"/>
        </w:rPr>
        <w:t>. MADDER was added to each mount with unknowns, and measured during each analytical session.</w:t>
      </w:r>
      <w:r w:rsidRPr="00850CF6">
        <w:rPr>
          <w:rFonts w:eastAsia="Calibri"/>
          <w:szCs w:val="22"/>
        </w:rPr>
        <w:t xml:space="preserve"> Average count rates of each element of interest are </w:t>
      </w:r>
      <w:proofErr w:type="spellStart"/>
      <w:r w:rsidRPr="00850CF6">
        <w:rPr>
          <w:rFonts w:eastAsia="Calibri"/>
          <w:szCs w:val="22"/>
        </w:rPr>
        <w:t>ratioed</w:t>
      </w:r>
      <w:proofErr w:type="spellEnd"/>
      <w:r w:rsidRPr="00850CF6">
        <w:rPr>
          <w:rFonts w:eastAsia="Calibri"/>
          <w:szCs w:val="22"/>
        </w:rPr>
        <w:t xml:space="preserve"> to the appropriate high mass normalizing species to account for any primary current drift, and the derived ratios for the unknowns are compared to an average of those for the standards to determine concentrations. Spot to spot precisions (as measured on the standards) vary according to elemental ionization efficiency and concentration. For the MADDER zircon, precisions generally range from ±6%, 4%, 11%, 7%, 3%, 7%, 2%, and 11% for </w:t>
      </w:r>
      <w:proofErr w:type="spellStart"/>
      <w:r w:rsidRPr="00850CF6">
        <w:rPr>
          <w:rFonts w:eastAsia="Calibri"/>
          <w:szCs w:val="22"/>
        </w:rPr>
        <w:t>Ti</w:t>
      </w:r>
      <w:proofErr w:type="spellEnd"/>
      <w:r w:rsidRPr="00850CF6">
        <w:rPr>
          <w:rFonts w:eastAsia="Calibri"/>
          <w:szCs w:val="22"/>
        </w:rPr>
        <w:t xml:space="preserve">, Fe, Y, </w:t>
      </w:r>
      <w:proofErr w:type="spellStart"/>
      <w:r w:rsidRPr="00850CF6">
        <w:rPr>
          <w:rFonts w:eastAsia="Calibri"/>
          <w:szCs w:val="22"/>
        </w:rPr>
        <w:t>Gd</w:t>
      </w:r>
      <w:proofErr w:type="spellEnd"/>
      <w:r w:rsidRPr="00850CF6">
        <w:rPr>
          <w:rFonts w:eastAsia="Calibri"/>
          <w:szCs w:val="22"/>
        </w:rPr>
        <w:t xml:space="preserve">, </w:t>
      </w:r>
      <w:proofErr w:type="spellStart"/>
      <w:r w:rsidRPr="00850CF6">
        <w:rPr>
          <w:rFonts w:eastAsia="Calibri"/>
          <w:szCs w:val="22"/>
        </w:rPr>
        <w:t>Yb</w:t>
      </w:r>
      <w:proofErr w:type="spellEnd"/>
      <w:r w:rsidRPr="00850CF6">
        <w:rPr>
          <w:rFonts w:eastAsia="Calibri"/>
          <w:szCs w:val="22"/>
        </w:rPr>
        <w:t xml:space="preserve">, </w:t>
      </w:r>
      <w:proofErr w:type="spellStart"/>
      <w:r w:rsidRPr="00850CF6">
        <w:rPr>
          <w:rFonts w:eastAsia="Calibri"/>
          <w:szCs w:val="22"/>
        </w:rPr>
        <w:t>Hf</w:t>
      </w:r>
      <w:proofErr w:type="spellEnd"/>
      <w:r w:rsidRPr="00850CF6">
        <w:rPr>
          <w:rFonts w:eastAsia="Calibri"/>
          <w:szCs w:val="22"/>
        </w:rPr>
        <w:t xml:space="preserve">, U, and </w:t>
      </w:r>
      <w:proofErr w:type="spellStart"/>
      <w:r w:rsidRPr="00850CF6">
        <w:rPr>
          <w:rFonts w:eastAsia="Calibri"/>
          <w:szCs w:val="22"/>
        </w:rPr>
        <w:t>Th</w:t>
      </w:r>
      <w:proofErr w:type="spellEnd"/>
      <w:r w:rsidRPr="00850CF6">
        <w:rPr>
          <w:rFonts w:eastAsia="Calibri"/>
          <w:szCs w:val="22"/>
        </w:rPr>
        <w:t xml:space="preserve">, respectively (all values at 1σ standard deviation). </w:t>
      </w:r>
    </w:p>
    <w:p w:rsidR="004964EE" w:rsidRDefault="00E42592" w:rsidP="00E42592">
      <w:pPr>
        <w:tabs>
          <w:tab w:val="left" w:pos="1440"/>
        </w:tabs>
        <w:rPr>
          <w:rFonts w:eastAsia="Calibri"/>
          <w:szCs w:val="22"/>
        </w:rPr>
      </w:pPr>
      <w:proofErr w:type="spellStart"/>
      <w:r w:rsidRPr="00850CF6">
        <w:rPr>
          <w:rFonts w:eastAsia="Calibri"/>
          <w:szCs w:val="22"/>
        </w:rPr>
        <w:t>Ti</w:t>
      </w:r>
      <w:proofErr w:type="spellEnd"/>
      <w:r w:rsidRPr="00850CF6">
        <w:rPr>
          <w:rFonts w:eastAsia="Calibri"/>
          <w:szCs w:val="22"/>
        </w:rPr>
        <w:t xml:space="preserve">-in-zircon temperatures were calculated using measured </w:t>
      </w:r>
      <w:r w:rsidRPr="00850CF6">
        <w:rPr>
          <w:rFonts w:eastAsia="Calibri"/>
          <w:szCs w:val="22"/>
          <w:vertAlign w:val="superscript"/>
        </w:rPr>
        <w:t>48</w:t>
      </w:r>
      <w:r w:rsidRPr="00850CF6">
        <w:rPr>
          <w:rFonts w:eastAsia="Calibri"/>
          <w:szCs w:val="22"/>
        </w:rPr>
        <w:t xml:space="preserve">Ti and the recalibrated method of Ferry and Watson </w:t>
      </w:r>
      <w:r w:rsidRPr="00561C47">
        <w:rPr>
          <w:rFonts w:eastAsia="Calibri"/>
          <w:szCs w:val="22"/>
        </w:rPr>
        <w:t>(2007)</w:t>
      </w:r>
      <w:r w:rsidRPr="00850CF6">
        <w:rPr>
          <w:rFonts w:eastAsia="Calibri"/>
          <w:szCs w:val="22"/>
        </w:rPr>
        <w:t xml:space="preserve">. In samples where rutile is present </w:t>
      </w:r>
      <w:r w:rsidRPr="00850CF6">
        <w:rPr>
          <w:rFonts w:eastAsia="Calibri"/>
          <w:i/>
          <w:szCs w:val="22"/>
        </w:rPr>
        <w:t>a</w:t>
      </w:r>
      <w:r w:rsidRPr="00850CF6">
        <w:rPr>
          <w:rFonts w:eastAsia="Calibri"/>
          <w:szCs w:val="22"/>
          <w:vertAlign w:val="subscript"/>
        </w:rPr>
        <w:t>TiO2</w:t>
      </w:r>
      <w:r w:rsidRPr="00850CF6">
        <w:rPr>
          <w:rFonts w:eastAsia="Calibri"/>
          <w:szCs w:val="22"/>
        </w:rPr>
        <w:t xml:space="preserve"> = 1; in the absence of rutile (i.e. </w:t>
      </w:r>
      <w:r w:rsidRPr="00850CF6">
        <w:rPr>
          <w:rFonts w:eastAsia="Calibri"/>
          <w:i/>
          <w:szCs w:val="22"/>
        </w:rPr>
        <w:t>a</w:t>
      </w:r>
      <w:r w:rsidRPr="00850CF6">
        <w:rPr>
          <w:rFonts w:eastAsia="Calibri"/>
          <w:szCs w:val="22"/>
          <w:vertAlign w:val="subscript"/>
        </w:rPr>
        <w:t>TiO2</w:t>
      </w:r>
      <w:r>
        <w:rPr>
          <w:rFonts w:eastAsia="Calibri"/>
          <w:szCs w:val="22"/>
        </w:rPr>
        <w:t xml:space="preserve"> &lt;</w:t>
      </w:r>
      <w:r w:rsidRPr="00850CF6">
        <w:rPr>
          <w:rFonts w:eastAsia="Calibri"/>
          <w:szCs w:val="22"/>
        </w:rPr>
        <w:t>1) an intermediate value of 0.7 is used. Although aTiO</w:t>
      </w:r>
      <w:r w:rsidRPr="00850CF6">
        <w:rPr>
          <w:rFonts w:eastAsia="Calibri"/>
          <w:szCs w:val="22"/>
          <w:vertAlign w:val="subscript"/>
        </w:rPr>
        <w:t>2</w:t>
      </w:r>
      <w:r w:rsidRPr="00850CF6">
        <w:rPr>
          <w:rFonts w:eastAsia="Calibri"/>
          <w:szCs w:val="22"/>
        </w:rPr>
        <w:t xml:space="preserve"> is poorly constrained, Hayden and Watson </w:t>
      </w:r>
      <w:r w:rsidRPr="00561C47">
        <w:rPr>
          <w:rFonts w:eastAsia="Calibri"/>
          <w:szCs w:val="22"/>
        </w:rPr>
        <w:t>(2007)</w:t>
      </w:r>
      <w:r w:rsidRPr="00850CF6">
        <w:rPr>
          <w:rFonts w:eastAsia="Calibri"/>
          <w:szCs w:val="22"/>
        </w:rPr>
        <w:t xml:space="preserve"> demonstrate that </w:t>
      </w:r>
      <w:r w:rsidRPr="00850CF6">
        <w:rPr>
          <w:rFonts w:eastAsia="Calibri"/>
          <w:i/>
          <w:szCs w:val="22"/>
        </w:rPr>
        <w:t>a</w:t>
      </w:r>
      <w:r w:rsidRPr="00850CF6">
        <w:rPr>
          <w:rFonts w:eastAsia="Calibri"/>
          <w:szCs w:val="22"/>
          <w:vertAlign w:val="subscript"/>
        </w:rPr>
        <w:t>TiO2</w:t>
      </w:r>
      <w:r w:rsidRPr="00850CF6">
        <w:rPr>
          <w:rFonts w:eastAsia="Calibri"/>
          <w:szCs w:val="22"/>
        </w:rPr>
        <w:t xml:space="preserve"> is often greater than 0.5 in </w:t>
      </w:r>
      <w:proofErr w:type="spellStart"/>
      <w:r w:rsidRPr="00850CF6">
        <w:rPr>
          <w:rFonts w:eastAsia="Calibri"/>
          <w:szCs w:val="22"/>
        </w:rPr>
        <w:t>Ti</w:t>
      </w:r>
      <w:proofErr w:type="spellEnd"/>
      <w:r w:rsidRPr="00850CF6">
        <w:rPr>
          <w:rFonts w:eastAsia="Calibri"/>
          <w:szCs w:val="22"/>
        </w:rPr>
        <w:t xml:space="preserve">-rich crustal rocks, especially those hosting </w:t>
      </w:r>
      <w:proofErr w:type="spellStart"/>
      <w:r w:rsidRPr="00850CF6">
        <w:rPr>
          <w:rFonts w:eastAsia="Calibri"/>
          <w:szCs w:val="22"/>
        </w:rPr>
        <w:t>Ti</w:t>
      </w:r>
      <w:proofErr w:type="spellEnd"/>
      <w:r w:rsidRPr="00850CF6">
        <w:rPr>
          <w:rFonts w:eastAsia="Calibri"/>
          <w:szCs w:val="22"/>
        </w:rPr>
        <w:t xml:space="preserve">-rich phases including ilmenite and </w:t>
      </w:r>
      <w:proofErr w:type="spellStart"/>
      <w:r w:rsidRPr="00850CF6">
        <w:rPr>
          <w:rFonts w:eastAsia="Calibri"/>
          <w:szCs w:val="22"/>
        </w:rPr>
        <w:t>titanite</w:t>
      </w:r>
      <w:proofErr w:type="spellEnd"/>
      <w:r w:rsidRPr="00850CF6">
        <w:rPr>
          <w:rFonts w:eastAsia="Calibri"/>
          <w:szCs w:val="22"/>
        </w:rPr>
        <w:t xml:space="preserve">. Thus, an intermediate value for </w:t>
      </w:r>
      <w:r w:rsidRPr="00850CF6">
        <w:rPr>
          <w:rFonts w:eastAsia="Calibri"/>
          <w:i/>
          <w:szCs w:val="22"/>
        </w:rPr>
        <w:t>a</w:t>
      </w:r>
      <w:r w:rsidRPr="00850CF6">
        <w:rPr>
          <w:rFonts w:eastAsia="Calibri"/>
          <w:szCs w:val="22"/>
          <w:vertAlign w:val="subscript"/>
        </w:rPr>
        <w:t>TiO2</w:t>
      </w:r>
      <w:r w:rsidRPr="00850CF6">
        <w:rPr>
          <w:rFonts w:eastAsia="Calibri"/>
          <w:szCs w:val="22"/>
        </w:rPr>
        <w:t xml:space="preserve"> of 0.7 is assumed. Quartz is common in all samples</w:t>
      </w:r>
      <w:r>
        <w:rPr>
          <w:rFonts w:eastAsia="Calibri"/>
          <w:szCs w:val="22"/>
        </w:rPr>
        <w:t xml:space="preserve"> </w:t>
      </w:r>
      <w:r w:rsidRPr="00850CF6">
        <w:rPr>
          <w:rFonts w:eastAsia="Calibri"/>
          <w:szCs w:val="22"/>
        </w:rPr>
        <w:t xml:space="preserve">analyzed; silica activity is therefore approximated as 1 (i.e. </w:t>
      </w:r>
      <w:r w:rsidRPr="00850CF6">
        <w:rPr>
          <w:rFonts w:eastAsia="Calibri"/>
          <w:i/>
          <w:szCs w:val="22"/>
        </w:rPr>
        <w:t>a</w:t>
      </w:r>
      <w:r w:rsidRPr="00850CF6">
        <w:rPr>
          <w:rFonts w:eastAsia="Calibri"/>
          <w:szCs w:val="22"/>
          <w:vertAlign w:val="subscript"/>
        </w:rPr>
        <w:t>SiO2</w:t>
      </w:r>
      <w:r w:rsidRPr="00850CF6">
        <w:rPr>
          <w:rFonts w:eastAsia="Calibri"/>
          <w:szCs w:val="22"/>
        </w:rPr>
        <w:t xml:space="preserve"> = 1.0) for all but sample </w:t>
      </w:r>
      <w:r w:rsidRPr="00850CF6">
        <w:rPr>
          <w:rFonts w:eastAsia="Calibri"/>
          <w:i/>
          <w:szCs w:val="22"/>
        </w:rPr>
        <w:t>BJ14Ch-2</w:t>
      </w:r>
      <w:r w:rsidRPr="00850CF6">
        <w:rPr>
          <w:rFonts w:eastAsia="Calibri"/>
          <w:szCs w:val="22"/>
        </w:rPr>
        <w:t>. Analyses with anomalous trace element concentrations – indicative of contamination by targeting an inclusion, fracture or epoxy – are not included in the m</w:t>
      </w:r>
      <w:r>
        <w:rPr>
          <w:rFonts w:eastAsia="Calibri"/>
          <w:szCs w:val="22"/>
        </w:rPr>
        <w:t xml:space="preserve">ean </w:t>
      </w:r>
      <w:proofErr w:type="spellStart"/>
      <w:r>
        <w:rPr>
          <w:rFonts w:eastAsia="Calibri"/>
          <w:szCs w:val="22"/>
        </w:rPr>
        <w:t>Ti</w:t>
      </w:r>
      <w:proofErr w:type="spellEnd"/>
      <w:r>
        <w:rPr>
          <w:rFonts w:eastAsia="Calibri"/>
          <w:szCs w:val="22"/>
        </w:rPr>
        <w:t xml:space="preserve">-in-zircon temperatures. </w:t>
      </w:r>
      <w:r w:rsidRPr="00FF2265">
        <w:rPr>
          <w:rFonts w:eastAsia="Calibri"/>
          <w:szCs w:val="22"/>
        </w:rPr>
        <w:t xml:space="preserve">Although the solidus temperature for each dike composition is relatively poorly constrained, we interpret the calculated </w:t>
      </w:r>
      <w:proofErr w:type="spellStart"/>
      <w:r w:rsidRPr="00FF2265">
        <w:rPr>
          <w:rFonts w:eastAsia="Calibri"/>
          <w:szCs w:val="22"/>
        </w:rPr>
        <w:t>Ti</w:t>
      </w:r>
      <w:proofErr w:type="spellEnd"/>
      <w:r w:rsidRPr="00FF2265">
        <w:rPr>
          <w:rFonts w:eastAsia="Calibri"/>
          <w:szCs w:val="22"/>
        </w:rPr>
        <w:t>-in-zircon temperatures to indicate crystallization of the analyzed zircon under near-solidus conditions, and use these temperatures and ages to help infer extension and heating of the footwall during regional extension.</w:t>
      </w:r>
    </w:p>
    <w:p w:rsidR="00A254C6" w:rsidRPr="00824846" w:rsidRDefault="00A254C6" w:rsidP="00A254C6">
      <w:pPr>
        <w:rPr>
          <w:b/>
        </w:rPr>
      </w:pPr>
      <w:r w:rsidRPr="00824846">
        <w:rPr>
          <w:b/>
        </w:rPr>
        <w:t>Supplemental References Cited</w:t>
      </w:r>
    </w:p>
    <w:p w:rsidR="00A254C6" w:rsidRDefault="00A254C6" w:rsidP="00A254C6">
      <w:r w:rsidRPr="00EA28FC">
        <w:t xml:space="preserve">Barth, A.P., and Wooden, J.L., 2010, </w:t>
      </w:r>
      <w:proofErr w:type="gramStart"/>
      <w:r w:rsidRPr="00EA28FC">
        <w:t>Coupled</w:t>
      </w:r>
      <w:proofErr w:type="gramEnd"/>
      <w:r w:rsidRPr="00EA28FC">
        <w:t xml:space="preserve"> elemental and isotopic analyses of polygenetic zircons from granitic rocks by ion microprobe, with implications for melt evolution and the sources of granitic magmas: Chemical Geology, v. 277, p. 149–159, doi:10.1016/j.chemgeo.2010.07.017.</w:t>
      </w:r>
    </w:p>
    <w:p w:rsidR="00A254C6" w:rsidRDefault="00A254C6" w:rsidP="00A254C6">
      <w:r w:rsidRPr="0057041A">
        <w:t xml:space="preserve">Black, L.P., et al., 2004, Improved </w:t>
      </w:r>
      <w:r w:rsidRPr="0057041A">
        <w:rPr>
          <w:vertAlign w:val="superscript"/>
        </w:rPr>
        <w:t>206</w:t>
      </w:r>
      <w:r w:rsidRPr="0057041A">
        <w:t>Pb/</w:t>
      </w:r>
      <w:r w:rsidRPr="0057041A">
        <w:rPr>
          <w:vertAlign w:val="superscript"/>
        </w:rPr>
        <w:t>238</w:t>
      </w:r>
      <w:r w:rsidRPr="0057041A">
        <w:t>U microprobe geochronology by the monitoring of a trace-element-related matrix effect; SHRIMP, ID-TIMS, ELA-ICP-MS and oxygen isotope documentation for a series of zircon standards: Chemical Geology, v. 205, p. 115–140, doi:10.1016/j.chemgeo.2004.01.003.</w:t>
      </w:r>
    </w:p>
    <w:p w:rsidR="00A254C6" w:rsidRDefault="00A254C6" w:rsidP="00A254C6">
      <w:r w:rsidRPr="002375E0">
        <w:t xml:space="preserve">Hayden, L.A., and Watson, E.B., 2007, Rutile saturation in hydrous siliceous melts and its bearing on </w:t>
      </w:r>
      <w:proofErr w:type="spellStart"/>
      <w:r w:rsidRPr="002375E0">
        <w:t>Ti</w:t>
      </w:r>
      <w:proofErr w:type="spellEnd"/>
      <w:r w:rsidRPr="002375E0">
        <w:t>-thermometry of quartz and zircon: Earth and Planetary Science Letters, v. 258, p. 561–568, doi:10.1016/j.epsl.2007.04.020.</w:t>
      </w:r>
    </w:p>
    <w:p w:rsidR="00A254C6" w:rsidRDefault="00A254C6" w:rsidP="00A254C6">
      <w:r w:rsidRPr="00CE239E">
        <w:t xml:space="preserve">Stacey, J.S., and </w:t>
      </w:r>
      <w:proofErr w:type="spellStart"/>
      <w:r w:rsidRPr="00CE239E">
        <w:t>Kramers</w:t>
      </w:r>
      <w:proofErr w:type="spellEnd"/>
      <w:r w:rsidRPr="00CE239E">
        <w:t>, J.D., 1975, Approximation of terrestrial lead isotope evolution by a two-stage model: Earth and Planetary Science Letters, v. 26, p. 207–221, doi</w:t>
      </w:r>
      <w:proofErr w:type="gramStart"/>
      <w:r w:rsidRPr="00CE239E">
        <w:t>:10.1016</w:t>
      </w:r>
      <w:proofErr w:type="gramEnd"/>
      <w:r w:rsidRPr="00CE239E">
        <w:t>/0012-821X(75)90088-6.</w:t>
      </w:r>
    </w:p>
    <w:p w:rsidR="00A254C6" w:rsidRDefault="00A254C6" w:rsidP="00A254C6">
      <w:r w:rsidRPr="00CE239E">
        <w:t xml:space="preserve">Tera, F., and </w:t>
      </w:r>
      <w:proofErr w:type="spellStart"/>
      <w:r w:rsidRPr="00CE239E">
        <w:t>Wasserburg</w:t>
      </w:r>
      <w:proofErr w:type="spellEnd"/>
      <w:r w:rsidRPr="00CE239E">
        <w:t>, G.J., 1972, U-</w:t>
      </w:r>
      <w:proofErr w:type="spellStart"/>
      <w:r w:rsidRPr="00CE239E">
        <w:t>Th</w:t>
      </w:r>
      <w:proofErr w:type="spellEnd"/>
      <w:r w:rsidRPr="00CE239E">
        <w:t>-</w:t>
      </w:r>
      <w:proofErr w:type="spellStart"/>
      <w:r w:rsidRPr="00CE239E">
        <w:t>Pb</w:t>
      </w:r>
      <w:proofErr w:type="spellEnd"/>
      <w:r w:rsidRPr="00CE239E">
        <w:t xml:space="preserve"> systematics in three Apollo 14 basalts and the problem of initial </w:t>
      </w:r>
      <w:proofErr w:type="spellStart"/>
      <w:r w:rsidRPr="00CE239E">
        <w:t>Pb</w:t>
      </w:r>
      <w:proofErr w:type="spellEnd"/>
      <w:r w:rsidRPr="00CE239E">
        <w:t xml:space="preserve"> in lunar rocks: Earth and Planetary Science Letters, v. 14, p. 281–304, doi</w:t>
      </w:r>
      <w:proofErr w:type="gramStart"/>
      <w:r w:rsidRPr="00CE239E">
        <w:t>:10.1016</w:t>
      </w:r>
      <w:proofErr w:type="gramEnd"/>
      <w:r w:rsidRPr="00CE239E">
        <w:t>/0012-821X(72)90128-8.</w:t>
      </w:r>
    </w:p>
    <w:p w:rsidR="00A254C6" w:rsidRDefault="00A254C6" w:rsidP="00A254C6">
      <w:r w:rsidRPr="00CE239E">
        <w:t>York, D., 1968, Least squares fitting of a straight line with correlated errors: Earth and Planetary Science Letters, v. 5, p. 320–324, doi</w:t>
      </w:r>
      <w:proofErr w:type="gramStart"/>
      <w:r w:rsidRPr="00CE239E">
        <w:t>:10.1016</w:t>
      </w:r>
      <w:proofErr w:type="gramEnd"/>
      <w:r w:rsidRPr="00CE239E">
        <w:t>/S0012-821X(68)80059-7.</w:t>
      </w:r>
    </w:p>
    <w:p w:rsidR="00A254C6" w:rsidRPr="00E42592" w:rsidRDefault="00A254C6" w:rsidP="00E42592">
      <w:pPr>
        <w:tabs>
          <w:tab w:val="left" w:pos="1440"/>
        </w:tabs>
        <w:rPr>
          <w:rFonts w:eastAsia="Calibri"/>
          <w:szCs w:val="22"/>
        </w:rPr>
      </w:pPr>
      <w:bookmarkStart w:id="0" w:name="_GoBack"/>
      <w:bookmarkEnd w:id="0"/>
    </w:p>
    <w:sectPr w:rsidR="00A254C6" w:rsidRPr="00E42592" w:rsidSect="008019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54C6">
      <w:pPr>
        <w:spacing w:line="240" w:lineRule="auto"/>
      </w:pPr>
      <w:r>
        <w:separator/>
      </w:r>
    </w:p>
  </w:endnote>
  <w:endnote w:type="continuationSeparator" w:id="0">
    <w:p w:rsidR="00000000" w:rsidRDefault="00A25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Naskh Medium">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B9" w:rsidRPr="00FE5101" w:rsidRDefault="001276C9" w:rsidP="006A3856">
    <w:pPr>
      <w:jc w:val="center"/>
    </w:pPr>
    <w:proofErr w:type="gramStart"/>
    <w:r w:rsidRPr="00FE5101">
      <w:t>Page  of</w:t>
    </w:r>
    <w:proofErr w:type="gramEnd"/>
    <w:r w:rsidRPr="00FE5101">
      <w:t xml:space="preserve"> </w:t>
    </w:r>
    <w:r w:rsidRPr="00FE5101">
      <w:fldChar w:fldCharType="begin"/>
    </w:r>
    <w:r w:rsidRPr="006A3856">
      <w:instrText xml:space="preserve"> NUMPAGES  \* MERGEFORMAT </w:instrText>
    </w:r>
    <w:r w:rsidRPr="00FE5101">
      <w:fldChar w:fldCharType="separate"/>
    </w:r>
    <w:r>
      <w:rPr>
        <w:noProof/>
      </w:rPr>
      <w:t>38</w:t>
    </w:r>
    <w:r w:rsidRPr="00FE51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B9" w:rsidRPr="007E18CD" w:rsidRDefault="00A254C6" w:rsidP="007E18CD">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B9" w:rsidRPr="00FE5101" w:rsidRDefault="001276C9" w:rsidP="00FE5101">
    <w:pPr>
      <w:jc w:val="center"/>
    </w:pPr>
    <w:r w:rsidRPr="00FE5101">
      <w:t xml:space="preserve">Page </w:t>
    </w:r>
    <w:r w:rsidRPr="00FE5101">
      <w:fldChar w:fldCharType="begin"/>
    </w:r>
    <w:r w:rsidRPr="00FE5101">
      <w:instrText xml:space="preserve"> PAGE  \* MERGEFORMAT </w:instrText>
    </w:r>
    <w:r w:rsidRPr="00FE5101">
      <w:fldChar w:fldCharType="separate"/>
    </w:r>
    <w:r w:rsidRPr="00FE5101">
      <w:rPr>
        <w:noProof/>
      </w:rPr>
      <w:t>1</w:t>
    </w:r>
    <w:r w:rsidRPr="00FE5101">
      <w:fldChar w:fldCharType="end"/>
    </w:r>
    <w:r w:rsidRPr="00FE5101">
      <w:t xml:space="preserve"> of </w:t>
    </w:r>
    <w:fldSimple w:instr=" NUMPAGES  \* MERGEFORMAT ">
      <w:r>
        <w:rPr>
          <w:noProof/>
        </w:rPr>
        <w:t>38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54C6">
      <w:pPr>
        <w:spacing w:line="240" w:lineRule="auto"/>
      </w:pPr>
      <w:r>
        <w:separator/>
      </w:r>
    </w:p>
  </w:footnote>
  <w:footnote w:type="continuationSeparator" w:id="0">
    <w:p w:rsidR="00000000" w:rsidRDefault="00A25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B9" w:rsidRPr="00FE5101" w:rsidRDefault="001276C9" w:rsidP="00FE5101">
    <w:pPr>
      <w:jc w:val="center"/>
    </w:pPr>
    <w:r w:rsidRPr="00FE5101">
      <w:t>Publisher: GSA</w:t>
    </w:r>
  </w:p>
  <w:p w:rsidR="00C878B9" w:rsidRPr="00FE5101" w:rsidRDefault="001276C9" w:rsidP="00FE5101">
    <w:pPr>
      <w:jc w:val="center"/>
    </w:pPr>
    <w:r w:rsidRPr="00FE5101">
      <w:t>Journal: GEOL: Geology</w:t>
    </w:r>
  </w:p>
  <w:p w:rsidR="00C878B9" w:rsidRPr="00FE5101" w:rsidRDefault="001276C9" w:rsidP="00FE5101">
    <w:pPr>
      <w:jc w:val="center"/>
    </w:pPr>
    <w:r w:rsidRPr="00FE5101">
      <w:t>Article ID: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B9" w:rsidRPr="00FE5101" w:rsidRDefault="00A254C6" w:rsidP="00FE510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B9" w:rsidRPr="00FE5101" w:rsidRDefault="001276C9" w:rsidP="00FE5101">
    <w:pPr>
      <w:jc w:val="center"/>
    </w:pPr>
    <w:r w:rsidRPr="00FE5101">
      <w:t>Publisher: GSA</w:t>
    </w:r>
  </w:p>
  <w:p w:rsidR="00C878B9" w:rsidRPr="00FE5101" w:rsidRDefault="001276C9" w:rsidP="00FE5101">
    <w:pPr>
      <w:jc w:val="center"/>
    </w:pPr>
    <w:r w:rsidRPr="00FE5101">
      <w:t>Journal: GEOL: Geology</w:t>
    </w:r>
  </w:p>
  <w:p w:rsidR="00C878B9" w:rsidRPr="00FE5101" w:rsidRDefault="001276C9" w:rsidP="00FE5101">
    <w:pPr>
      <w:jc w:val="center"/>
    </w:pPr>
    <w:r w:rsidRPr="00FE5101">
      <w:t>Article ID: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B8"/>
    <w:rsid w:val="001266EC"/>
    <w:rsid w:val="001276C9"/>
    <w:rsid w:val="0016451D"/>
    <w:rsid w:val="004964EE"/>
    <w:rsid w:val="005B6443"/>
    <w:rsid w:val="00921709"/>
    <w:rsid w:val="00A254C6"/>
    <w:rsid w:val="00B500B8"/>
    <w:rsid w:val="00E4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92"/>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2592"/>
    <w:pPr>
      <w:tabs>
        <w:tab w:val="center" w:pos="4680"/>
        <w:tab w:val="right" w:pos="9360"/>
      </w:tabs>
    </w:pPr>
  </w:style>
  <w:style w:type="character" w:customStyle="1" w:styleId="FooterChar">
    <w:name w:val="Footer Char"/>
    <w:basedOn w:val="DefaultParagraphFont"/>
    <w:link w:val="Footer"/>
    <w:uiPriority w:val="99"/>
    <w:semiHidden/>
    <w:rsid w:val="00E42592"/>
    <w:rPr>
      <w:rFonts w:ascii="Times New Roman" w:eastAsia="Times New Roman" w:hAnsi="Times New Roman" w:cs="Times New Roman"/>
      <w:sz w:val="24"/>
      <w:szCs w:val="24"/>
    </w:rPr>
  </w:style>
  <w:style w:type="paragraph" w:customStyle="1" w:styleId="Head2">
    <w:name w:val="Head 2"/>
    <w:basedOn w:val="Normal"/>
    <w:rsid w:val="00E42592"/>
    <w:pPr>
      <w:outlineLvl w:val="1"/>
    </w:pPr>
    <w:rPr>
      <w:b/>
    </w:rPr>
  </w:style>
  <w:style w:type="character" w:styleId="LineNumber">
    <w:name w:val="line number"/>
    <w:basedOn w:val="DefaultParagraphFont"/>
    <w:uiPriority w:val="99"/>
    <w:semiHidden/>
    <w:unhideWhenUsed/>
    <w:rsid w:val="00E42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92"/>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2592"/>
    <w:pPr>
      <w:tabs>
        <w:tab w:val="center" w:pos="4680"/>
        <w:tab w:val="right" w:pos="9360"/>
      </w:tabs>
    </w:pPr>
  </w:style>
  <w:style w:type="character" w:customStyle="1" w:styleId="FooterChar">
    <w:name w:val="Footer Char"/>
    <w:basedOn w:val="DefaultParagraphFont"/>
    <w:link w:val="Footer"/>
    <w:uiPriority w:val="99"/>
    <w:semiHidden/>
    <w:rsid w:val="00E42592"/>
    <w:rPr>
      <w:rFonts w:ascii="Times New Roman" w:eastAsia="Times New Roman" w:hAnsi="Times New Roman" w:cs="Times New Roman"/>
      <w:sz w:val="24"/>
      <w:szCs w:val="24"/>
    </w:rPr>
  </w:style>
  <w:style w:type="paragraph" w:customStyle="1" w:styleId="Head2">
    <w:name w:val="Head 2"/>
    <w:basedOn w:val="Normal"/>
    <w:rsid w:val="00E42592"/>
    <w:pPr>
      <w:outlineLvl w:val="1"/>
    </w:pPr>
    <w:rPr>
      <w:b/>
    </w:rPr>
  </w:style>
  <w:style w:type="character" w:styleId="LineNumber">
    <w:name w:val="line number"/>
    <w:basedOn w:val="DefaultParagraphFont"/>
    <w:uiPriority w:val="99"/>
    <w:semiHidden/>
    <w:unhideWhenUsed/>
    <w:rsid w:val="00E4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1502</Words>
  <Characters>8788</Characters>
  <Application>Microsoft Office Word</Application>
  <DocSecurity>0</DocSecurity>
  <Lines>127</Lines>
  <Paragraphs>28</Paragraphs>
  <ScaleCrop>false</ScaleCrop>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eXtyles CrossRef Reference Correction</cp:lastModifiedBy>
  <cp:revision>4</cp:revision>
  <dcterms:created xsi:type="dcterms:W3CDTF">2017-06-29T03:13:00Z</dcterms:created>
  <dcterms:modified xsi:type="dcterms:W3CDTF">2017-08-24T22:11:00Z</dcterms:modified>
</cp:coreProperties>
</file>