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b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b/>
          <w:szCs w:val="18"/>
          <w:lang w:val="en-US" w:eastAsia="en-US"/>
        </w:rPr>
        <w:t>Data repository (Supplementary material)</w:t>
      </w: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b/>
          <w:i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 xml:space="preserve">TOC and </w:t>
      </w:r>
      <w:r w:rsidR="007C470B">
        <w:rPr>
          <w:rFonts w:ascii="Times New Roman" w:eastAsiaTheme="minorHAnsi" w:hAnsi="Times New Roman"/>
          <w:b/>
          <w:i/>
          <w:szCs w:val="18"/>
          <w:lang w:val="en-US" w:eastAsia="en-US"/>
        </w:rPr>
        <w:t>δ</w:t>
      </w:r>
      <w:r w:rsidRPr="007C470B">
        <w:rPr>
          <w:rFonts w:ascii="Times New Roman" w:eastAsiaTheme="minorHAnsi" w:hAnsi="Times New Roman"/>
          <w:b/>
          <w:i/>
          <w:szCs w:val="18"/>
          <w:vertAlign w:val="superscript"/>
          <w:lang w:val="en-US" w:eastAsia="en-US"/>
        </w:rPr>
        <w:t>13</w:t>
      </w:r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>C</w:t>
      </w:r>
      <w:r w:rsidRPr="001A5283">
        <w:rPr>
          <w:rFonts w:ascii="Times New Roman" w:eastAsiaTheme="minorHAnsi" w:hAnsi="Times New Roman"/>
          <w:b/>
          <w:i/>
          <w:szCs w:val="18"/>
          <w:vertAlign w:val="subscript"/>
          <w:lang w:val="en-US" w:eastAsia="en-US"/>
        </w:rPr>
        <w:t>org</w:t>
      </w:r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 xml:space="preserve"> analyses</w:t>
      </w: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>Sample list and results.</w:t>
      </w:r>
    </w:p>
    <w:p w:rsidR="000B5ABC" w:rsidRPr="00686C73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u w:val="single"/>
          <w:lang w:val="en-US" w:eastAsia="en-US"/>
        </w:rPr>
      </w:pPr>
      <w:r w:rsidRPr="00686C73">
        <w:rPr>
          <w:rFonts w:ascii="Times New Roman" w:eastAsiaTheme="minorHAnsi" w:hAnsi="Times New Roman"/>
          <w:szCs w:val="18"/>
          <w:u w:val="single"/>
          <w:lang w:val="en-US" w:eastAsia="en-US"/>
        </w:rPr>
        <w:t>Pignola-Abriola</w:t>
      </w:r>
    </w:p>
    <w:tbl>
      <w:tblPr>
        <w:tblW w:w="5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2"/>
        <w:gridCol w:w="1300"/>
        <w:gridCol w:w="960"/>
        <w:gridCol w:w="1240"/>
      </w:tblGrid>
      <w:tr w:rsidR="009E197A" w:rsidRPr="007070B0" w:rsidTr="007C47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sample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Lithology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TOC%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7A" w:rsidRPr="007070B0" w:rsidRDefault="001A528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δ</w:t>
            </w:r>
            <w:r w:rsidRPr="007C470B">
              <w:rPr>
                <w:rFonts w:ascii="Times New Roman" w:eastAsiaTheme="minorHAnsi" w:hAnsi="Times New Roman"/>
                <w:b/>
                <w:i/>
                <w:szCs w:val="18"/>
                <w:vertAlign w:val="superscript"/>
                <w:lang w:val="en-US" w:eastAsia="en-US"/>
              </w:rPr>
              <w:t>13</w:t>
            </w:r>
            <w:r w:rsidRPr="007070B0"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C</w:t>
            </w:r>
            <w:r w:rsidR="009E197A" w:rsidRPr="001A5283">
              <w:rPr>
                <w:rFonts w:ascii="Times New Roman" w:eastAsiaTheme="minorHAnsi" w:hAnsi="Times New Roman"/>
                <w:b/>
                <w:bCs/>
                <w:szCs w:val="18"/>
                <w:vertAlign w:val="subscript"/>
                <w:lang w:eastAsia="en-US"/>
              </w:rPr>
              <w:t>org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191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9E197A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-25.56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-24.66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-26.43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56.76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-26.61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56.50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55.70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-24.41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55.63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55.55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55.25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54.45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53.75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-27.83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53.15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52.65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52.50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-25.26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52.13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Pa</w:t>
            </w: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i 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51.65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-26.52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51.40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-25.97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51.05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50.80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50.20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-25.03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4.780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9.895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-24.36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lastRenderedPageBreak/>
              <w:t>48.90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48.65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-25.72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48.40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12.653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47.40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19B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9.024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47.20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Pa</w:t>
            </w: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i 146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11.623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-26.05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12.589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-26.37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-27.10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10.337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-25.89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-27.13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-25.42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-27.58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44.95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-25.80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44.75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44.35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-29.95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43.30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GNP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7.845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-27.26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GNP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10.681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-28.28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41A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-27.55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41.30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-24.46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40.70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-27.97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40.19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GNM 35B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10.557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13.025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39.35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GNP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-27.93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38.30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-24.31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37.73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-25.58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37.50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37.30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36.80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lastRenderedPageBreak/>
              <w:t>36.10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-23.70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35.70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-24.19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33.80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-27.78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33.40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-25.97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32.95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-27.50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32.70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32.05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-27.87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-24.58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-24.45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-25.96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-27.18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-25.72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-25.30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-26.95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Parc 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5.996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29.90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GNI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Black shale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-27.68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28.00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27.60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-23.73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27.40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-20.78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27.10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-23.89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26.80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-23.50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26.60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-25.38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25.80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-26.52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25.00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24.82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23.80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-23.51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23.55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-23.80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23.30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-23.31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23.00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-26.73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22.60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-26.61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22.10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-26.64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21.70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-27.71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21.50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21.00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-24.84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20.80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-27.57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19.80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-28.61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19.65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7.345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19.30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-25.73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18.88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-25.07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18.60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18.10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-26.36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17.94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4.233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-24.91</w:t>
            </w:r>
          </w:p>
        </w:tc>
      </w:tr>
      <w:tr w:rsidR="009E197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17.50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7A" w:rsidRPr="007070B0" w:rsidRDefault="00C339C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7070B0" w:rsidRDefault="009E197A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-25.23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17.20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-26.08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16.90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-25.60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16.49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-26.19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16.40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16.22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-25.95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11.80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-24.76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11.13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9.74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i 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7.75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-25.11</w:t>
            </w:r>
          </w:p>
        </w:tc>
      </w:tr>
      <w:tr w:rsidR="00C339CA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Pai 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 dolomite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2.341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CA" w:rsidRPr="007070B0" w:rsidRDefault="00C339CA" w:rsidP="00C339CA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-24.67</w:t>
            </w:r>
          </w:p>
        </w:tc>
      </w:tr>
    </w:tbl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eastAsia="en-US"/>
        </w:rPr>
      </w:pP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u w:val="single"/>
          <w:lang w:eastAsia="en-US"/>
        </w:rPr>
      </w:pPr>
      <w:r w:rsidRPr="007070B0">
        <w:rPr>
          <w:rFonts w:ascii="Times New Roman" w:eastAsiaTheme="minorHAnsi" w:hAnsi="Times New Roman"/>
          <w:szCs w:val="18"/>
          <w:u w:val="single"/>
          <w:lang w:eastAsia="en-US"/>
        </w:rPr>
        <w:t>Mt. Volturino</w:t>
      </w:r>
    </w:p>
    <w:tbl>
      <w:tblPr>
        <w:tblW w:w="51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7"/>
        <w:gridCol w:w="1154"/>
        <w:gridCol w:w="960"/>
        <w:gridCol w:w="1240"/>
      </w:tblGrid>
      <w:tr w:rsidR="00B55193" w:rsidRPr="007070B0" w:rsidTr="007C47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Lithology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TOC%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1A528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δ</w:t>
            </w:r>
            <w:r w:rsidRPr="007C470B">
              <w:rPr>
                <w:rFonts w:ascii="Times New Roman" w:eastAsiaTheme="minorHAnsi" w:hAnsi="Times New Roman"/>
                <w:b/>
                <w:i/>
                <w:szCs w:val="18"/>
                <w:vertAlign w:val="superscript"/>
                <w:lang w:val="en-US" w:eastAsia="en-US"/>
              </w:rPr>
              <w:t>13</w:t>
            </w:r>
            <w:r w:rsidRPr="007070B0"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C</w:t>
            </w:r>
            <w:r w:rsidRPr="001A5283">
              <w:rPr>
                <w:rFonts w:ascii="Times New Roman" w:eastAsiaTheme="minorHAnsi" w:hAnsi="Times New Roman"/>
                <w:b/>
                <w:bCs/>
                <w:szCs w:val="18"/>
                <w:vertAlign w:val="subscript"/>
                <w:lang w:eastAsia="en-US"/>
              </w:rPr>
              <w:t>org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-19.88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MV45.60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66.00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-21.89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56.00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-28.05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51.50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-27.78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50.66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-27.36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50.50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-26.33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-27.52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48.20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-25.23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47.10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-27.46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-26.50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27B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-23.47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-27.35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-20.67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41.50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-24.29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41.43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-24.25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40.20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39.50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39.00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20B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38.45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-24.67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-26.07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37.50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-23.15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36.30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-24.30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37.00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36.00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-24.52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35.60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-24.35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-24.86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-23.65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33.50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MMV 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30.50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-24.83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29.00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-26.29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-28.10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27.00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-25.48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24.50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-24.83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23.00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-23.13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-24.87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-22.47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19.00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18.50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-26.77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17.50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16.50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MVVR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-26.14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13.50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-26.01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-27.40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9.00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-26.61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8.00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MVC1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-24.60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-25.35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-26.11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-25.25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B551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193" w:rsidRPr="007070B0" w:rsidRDefault="00D72D6F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-26.31</w:t>
            </w:r>
          </w:p>
        </w:tc>
      </w:tr>
    </w:tbl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eastAsia="en-US"/>
        </w:rPr>
      </w:pP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u w:val="single"/>
          <w:lang w:eastAsia="en-US"/>
        </w:rPr>
      </w:pPr>
      <w:r w:rsidRPr="007070B0">
        <w:rPr>
          <w:rFonts w:ascii="Times New Roman" w:eastAsiaTheme="minorHAnsi" w:hAnsi="Times New Roman"/>
          <w:szCs w:val="18"/>
          <w:u w:val="single"/>
          <w:lang w:eastAsia="en-US"/>
        </w:rPr>
        <w:t>Madonna del Sirino</w:t>
      </w:r>
    </w:p>
    <w:tbl>
      <w:tblPr>
        <w:tblW w:w="5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  <w:gridCol w:w="1300"/>
        <w:gridCol w:w="901"/>
        <w:gridCol w:w="1240"/>
      </w:tblGrid>
      <w:tr w:rsidR="00B55193" w:rsidRPr="007070B0" w:rsidTr="007C47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sample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Lithology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  <w:t>TOC%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93" w:rsidRPr="007070B0" w:rsidRDefault="001A528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b/>
                <w:bCs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δ</w:t>
            </w:r>
            <w:r w:rsidRPr="007C470B">
              <w:rPr>
                <w:rFonts w:ascii="Times New Roman" w:eastAsiaTheme="minorHAnsi" w:hAnsi="Times New Roman"/>
                <w:b/>
                <w:i/>
                <w:szCs w:val="18"/>
                <w:vertAlign w:val="superscript"/>
                <w:lang w:val="en-US" w:eastAsia="en-US"/>
              </w:rPr>
              <w:t>13</w:t>
            </w:r>
            <w:r w:rsidRPr="007070B0">
              <w:rPr>
                <w:rFonts w:ascii="Times New Roman" w:eastAsiaTheme="minorHAnsi" w:hAnsi="Times New Roman"/>
                <w:b/>
                <w:i/>
                <w:szCs w:val="18"/>
                <w:lang w:val="en-US" w:eastAsia="en-US"/>
              </w:rPr>
              <w:t>C</w:t>
            </w:r>
            <w:r w:rsidRPr="001A5283">
              <w:rPr>
                <w:rFonts w:ascii="Times New Roman" w:eastAsiaTheme="minorHAnsi" w:hAnsi="Times New Roman"/>
                <w:b/>
                <w:bCs/>
                <w:szCs w:val="18"/>
                <w:vertAlign w:val="subscript"/>
                <w:lang w:eastAsia="en-US"/>
              </w:rPr>
              <w:t>org</w:t>
            </w:r>
            <w:bookmarkStart w:id="0" w:name="_GoBack"/>
            <w:bookmarkEnd w:id="0"/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77.50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61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-20.26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76.00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56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73.50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53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72.25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52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-26.37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67.50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-27.01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67.00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-22.36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66.20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MSSS 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66.00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65.00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MSSS 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64.70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-25.30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64.50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-24.46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63.80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-25.76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63.00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39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62.50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37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-23.14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62.00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35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-21.83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61.50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33b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-25.10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60.50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59.75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17.1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58.00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-25.03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57.00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55.75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-25.42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54.50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-26.20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53.75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-24.03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52.00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-30.35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50.00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-25.66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-22.62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47.50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-22.42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47.00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47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-25.99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46.00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-26.26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42.00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CS 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S</w:t>
            </w:r>
            <w:r w:rsidRPr="009E197A">
              <w:rPr>
                <w:rFonts w:ascii="Times New Roman" w:eastAsiaTheme="minorHAnsi" w:hAnsi="Times New Roman"/>
                <w:bCs/>
                <w:szCs w:val="18"/>
                <w:lang w:eastAsia="en-US"/>
              </w:rPr>
              <w:t>ilicificated 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-26.72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CS 39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-26.97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33.00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33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-24.77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31.0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msss 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Limestone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-27.05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29.00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SS 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0.109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-24.62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28.50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-24.90</w:t>
            </w:r>
          </w:p>
        </w:tc>
      </w:tr>
      <w:tr w:rsidR="00B55193" w:rsidRPr="007070B0" w:rsidTr="007C47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27.50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ms 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93" w:rsidRPr="007070B0" w:rsidRDefault="007F631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Cs w:val="18"/>
                <w:lang w:eastAsia="en-US"/>
              </w:rPr>
              <w:t>Marlstone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93" w:rsidRPr="007070B0" w:rsidRDefault="00B55193" w:rsidP="00D72D6F">
            <w:pPr>
              <w:suppressAutoHyphens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="Times New Roman" w:eastAsiaTheme="minorHAnsi" w:hAnsi="Times New Roman"/>
                <w:szCs w:val="18"/>
                <w:lang w:eastAsia="en-US"/>
              </w:rPr>
            </w:pPr>
            <w:r w:rsidRPr="007070B0">
              <w:rPr>
                <w:rFonts w:ascii="Times New Roman" w:eastAsiaTheme="minorHAnsi" w:hAnsi="Times New Roman"/>
                <w:szCs w:val="18"/>
                <w:lang w:eastAsia="en-US"/>
              </w:rPr>
              <w:t>-24.55</w:t>
            </w:r>
          </w:p>
        </w:tc>
      </w:tr>
    </w:tbl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eastAsia="en-US"/>
        </w:rPr>
      </w:pP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b/>
          <w:i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 xml:space="preserve">Duration of isotopic excursions in Pignola-Abriola section (age model by </w:t>
      </w:r>
      <w:proofErr w:type="spellStart"/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>Maron</w:t>
      </w:r>
      <w:proofErr w:type="spellEnd"/>
      <w:r w:rsidRPr="007070B0">
        <w:rPr>
          <w:rFonts w:ascii="Times New Roman" w:eastAsiaTheme="minorHAnsi" w:hAnsi="Times New Roman"/>
          <w:b/>
          <w:i/>
          <w:szCs w:val="18"/>
          <w:lang w:val="en-US" w:eastAsia="en-US"/>
        </w:rPr>
        <w:t xml:space="preserve"> et al. 2015)</w:t>
      </w: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Duration of isotopic excursions has been calculated by applying the age model proposed by </w:t>
      </w:r>
      <w:proofErr w:type="spellStart"/>
      <w:r w:rsidRPr="007070B0">
        <w:rPr>
          <w:rFonts w:ascii="Times New Roman" w:eastAsiaTheme="minorHAnsi" w:hAnsi="Times New Roman"/>
          <w:szCs w:val="18"/>
          <w:lang w:val="en-US" w:eastAsia="en-US"/>
        </w:rPr>
        <w:t>Maron</w:t>
      </w:r>
      <w:proofErr w:type="spellEnd"/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 et al. (2015) on the Pignola-Abriola section. This model calculates the average accumulation rates of the Pignola-Abriola section, based on the magnetostratigraphic correlation with the Newark APTS. The sedimentation rate raises from 2.6 m/My (from 0 to 25.6 m) to 5.6 m/My (from 25.6 to 41.2 m), leading to a dramatic increase to 9.8 m/My up to the end of the section. The values of the sedimentation rate are very low, but acceptable for a pelagic basin. The increase in sediment supply coincides with an increase in siliciclastic fraction and the deposition of more shale, marl and </w:t>
      </w:r>
      <w:proofErr w:type="spellStart"/>
      <w:r w:rsidRPr="007070B0">
        <w:rPr>
          <w:rFonts w:ascii="Times New Roman" w:eastAsiaTheme="minorHAnsi" w:hAnsi="Times New Roman"/>
          <w:szCs w:val="18"/>
          <w:lang w:val="en-US" w:eastAsia="en-US"/>
        </w:rPr>
        <w:t>marly</w:t>
      </w:r>
      <w:proofErr w:type="spellEnd"/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 limestone levels (</w:t>
      </w:r>
      <w:proofErr w:type="spellStart"/>
      <w:r w:rsidRPr="007070B0">
        <w:rPr>
          <w:rFonts w:ascii="Times New Roman" w:eastAsiaTheme="minorHAnsi" w:hAnsi="Times New Roman"/>
          <w:szCs w:val="18"/>
          <w:lang w:val="en-US" w:eastAsia="en-US"/>
        </w:rPr>
        <w:t>Maron</w:t>
      </w:r>
      <w:proofErr w:type="spellEnd"/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 et al., 2015). The formulae applied for the age estimation are:</w:t>
      </w:r>
    </w:p>
    <w:p w:rsidR="000B5ABC" w:rsidRPr="007070B0" w:rsidRDefault="000B5ABC" w:rsidP="000B5A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>from 0 to 25.6 m:</w:t>
      </w:r>
      <w:r w:rsidRPr="007070B0">
        <w:rPr>
          <w:rFonts w:ascii="Times New Roman" w:eastAsiaTheme="minorHAnsi" w:hAnsi="Times New Roman"/>
          <w:szCs w:val="18"/>
          <w:lang w:val="en-US" w:eastAsia="en-US"/>
        </w:rPr>
        <w:tab/>
        <w:t>Age = -0.371*meter + 217.89</w:t>
      </w:r>
    </w:p>
    <w:p w:rsidR="000B5ABC" w:rsidRPr="007070B0" w:rsidRDefault="000B5ABC" w:rsidP="000B5A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>from 25.6 to 41.6 m:</w:t>
      </w:r>
      <w:r w:rsidRPr="007070B0">
        <w:rPr>
          <w:rFonts w:ascii="Times New Roman" w:eastAsiaTheme="minorHAnsi" w:hAnsi="Times New Roman"/>
          <w:szCs w:val="18"/>
          <w:lang w:val="en-US" w:eastAsia="en-US"/>
        </w:rPr>
        <w:tab/>
        <w:t>Age = -0.1702*meter + 212.89</w:t>
      </w:r>
    </w:p>
    <w:p w:rsidR="000B5ABC" w:rsidRPr="007070B0" w:rsidRDefault="000B5ABC" w:rsidP="000B5A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>over 41.6 m:</w:t>
      </w:r>
      <w:r w:rsidRPr="007070B0">
        <w:rPr>
          <w:rFonts w:ascii="Times New Roman" w:eastAsiaTheme="minorHAnsi" w:hAnsi="Times New Roman"/>
          <w:szCs w:val="18"/>
          <w:lang w:val="en-US" w:eastAsia="en-US"/>
        </w:rPr>
        <w:tab/>
      </w:r>
      <w:r w:rsidRPr="007070B0">
        <w:rPr>
          <w:rFonts w:ascii="Times New Roman" w:eastAsiaTheme="minorHAnsi" w:hAnsi="Times New Roman"/>
          <w:szCs w:val="18"/>
          <w:lang w:val="en-US" w:eastAsia="en-US"/>
        </w:rPr>
        <w:tab/>
        <w:t>Age = -0.1017*meter + 210.09</w:t>
      </w:r>
    </w:p>
    <w:p w:rsidR="000B5ABC" w:rsidRPr="007070B0" w:rsidRDefault="000B5ABC" w:rsidP="000B5ABC">
      <w:pPr>
        <w:suppressAutoHyphens w:val="0"/>
        <w:autoSpaceDE w:val="0"/>
        <w:autoSpaceDN w:val="0"/>
        <w:adjustRightInd w:val="0"/>
        <w:spacing w:line="480" w:lineRule="auto"/>
        <w:outlineLvl w:val="0"/>
        <w:rPr>
          <w:rFonts w:ascii="Times New Roman" w:eastAsiaTheme="minorHAnsi" w:hAnsi="Times New Roman"/>
          <w:szCs w:val="18"/>
          <w:lang w:val="en-US" w:eastAsia="en-US"/>
        </w:rPr>
      </w:pPr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For more detailed on the model construction and applications, please refer to </w:t>
      </w:r>
      <w:proofErr w:type="spellStart"/>
      <w:r w:rsidRPr="007070B0">
        <w:rPr>
          <w:rFonts w:ascii="Times New Roman" w:eastAsiaTheme="minorHAnsi" w:hAnsi="Times New Roman"/>
          <w:szCs w:val="18"/>
          <w:lang w:val="en-US" w:eastAsia="en-US"/>
        </w:rPr>
        <w:t>Maron</w:t>
      </w:r>
      <w:proofErr w:type="spellEnd"/>
      <w:r w:rsidRPr="007070B0">
        <w:rPr>
          <w:rFonts w:ascii="Times New Roman" w:eastAsiaTheme="minorHAnsi" w:hAnsi="Times New Roman"/>
          <w:szCs w:val="18"/>
          <w:lang w:val="en-US" w:eastAsia="en-US"/>
        </w:rPr>
        <w:t xml:space="preserve"> et al. (2015).</w:t>
      </w:r>
    </w:p>
    <w:p w:rsidR="00BE34E5" w:rsidRDefault="00BE34E5"/>
    <w:sectPr w:rsidR="00BE34E5" w:rsidSect="00BE3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962"/>
    <w:multiLevelType w:val="multilevel"/>
    <w:tmpl w:val="940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5B14"/>
    <w:multiLevelType w:val="multilevel"/>
    <w:tmpl w:val="C91E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0579A"/>
    <w:multiLevelType w:val="multilevel"/>
    <w:tmpl w:val="D8E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603CB"/>
    <w:multiLevelType w:val="hybridMultilevel"/>
    <w:tmpl w:val="9252F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EEB"/>
    <w:multiLevelType w:val="multilevel"/>
    <w:tmpl w:val="FFF4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A3FCE"/>
    <w:multiLevelType w:val="multilevel"/>
    <w:tmpl w:val="F01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5A7A"/>
    <w:multiLevelType w:val="hybridMultilevel"/>
    <w:tmpl w:val="B380BA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5ABC"/>
    <w:rsid w:val="000B5ABC"/>
    <w:rsid w:val="001A5283"/>
    <w:rsid w:val="007C470B"/>
    <w:rsid w:val="007F6313"/>
    <w:rsid w:val="009E197A"/>
    <w:rsid w:val="00B55193"/>
    <w:rsid w:val="00BE34E5"/>
    <w:rsid w:val="00C339CA"/>
    <w:rsid w:val="00D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BC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Rimandocommento1">
    <w:name w:val="Rimando commento1"/>
    <w:rsid w:val="000B5A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B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B5AB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5ABC"/>
    <w:rPr>
      <w:color w:val="0000FF" w:themeColor="hyperlink"/>
      <w:u w:val="single"/>
    </w:rPr>
  </w:style>
  <w:style w:type="paragraph" w:customStyle="1" w:styleId="Standard">
    <w:name w:val="Standard"/>
    <w:rsid w:val="000B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AU" w:eastAsia="zh-CN" w:bidi="hi-IN"/>
    </w:rPr>
  </w:style>
  <w:style w:type="character" w:customStyle="1" w:styleId="field-content">
    <w:name w:val="field-content"/>
    <w:basedOn w:val="DefaultParagraphFont"/>
    <w:rsid w:val="000B5ABC"/>
  </w:style>
  <w:style w:type="character" w:styleId="CommentReference">
    <w:name w:val="annotation reference"/>
    <w:basedOn w:val="DefaultParagraphFont"/>
    <w:uiPriority w:val="99"/>
    <w:semiHidden/>
    <w:unhideWhenUsed/>
    <w:rsid w:val="000B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ABC"/>
    <w:rPr>
      <w:rFonts w:ascii="Cambria" w:eastAsia="MS Mincho" w:hAnsi="Cambria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BC"/>
    <w:rPr>
      <w:rFonts w:ascii="Cambria" w:eastAsia="MS Mincho" w:hAnsi="Cambria" w:cs="Times New Roman"/>
      <w:b/>
      <w:bCs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5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BC"/>
    <w:rPr>
      <w:rFonts w:ascii="Cambria" w:eastAsia="MS Mincho" w:hAnsi="Cambria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0B5ABC"/>
  </w:style>
  <w:style w:type="paragraph" w:styleId="Revision">
    <w:name w:val="Revision"/>
    <w:hidden/>
    <w:uiPriority w:val="99"/>
    <w:semiHidden/>
    <w:rsid w:val="000B5AB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0B5ABC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B5ABC"/>
  </w:style>
  <w:style w:type="paragraph" w:styleId="DocumentMap">
    <w:name w:val="Document Map"/>
    <w:basedOn w:val="Normal"/>
    <w:link w:val="DocumentMapChar"/>
    <w:uiPriority w:val="99"/>
    <w:semiHidden/>
    <w:unhideWhenUsed/>
    <w:rsid w:val="000B5A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ABC"/>
    <w:rPr>
      <w:rFonts w:ascii="Tahoma" w:eastAsia="MS Mincho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B5A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ABC"/>
    <w:rPr>
      <w:rFonts w:ascii="Cambria" w:eastAsia="MS Mincho" w:hAnsi="Cambria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B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ciccio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</dc:creator>
  <cp:keywords/>
  <dc:description/>
  <cp:lastModifiedBy>eXtyles Citation Match Check</cp:lastModifiedBy>
  <cp:revision>6</cp:revision>
  <dcterms:created xsi:type="dcterms:W3CDTF">2016-05-31T07:28:00Z</dcterms:created>
  <dcterms:modified xsi:type="dcterms:W3CDTF">2017-06-02T17:40:00Z</dcterms:modified>
</cp:coreProperties>
</file>