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53" w:rsidRDefault="006816D0">
      <w:pPr>
        <w:rPr>
          <w:sz w:val="16"/>
        </w:rPr>
      </w:pPr>
      <w:r w:rsidRPr="006816D0">
        <w:rPr>
          <w:sz w:val="16"/>
        </w:rPr>
        <w:t xml:space="preserve">Cyr, A.J., Miller, D.M., and Mahan, S. A., 2015, </w:t>
      </w:r>
      <w:proofErr w:type="spellStart"/>
      <w:r w:rsidRPr="006816D0">
        <w:rPr>
          <w:sz w:val="16"/>
        </w:rPr>
        <w:t>Paleodischarge</w:t>
      </w:r>
      <w:proofErr w:type="spellEnd"/>
      <w:r w:rsidRPr="006816D0">
        <w:rPr>
          <w:sz w:val="16"/>
        </w:rPr>
        <w:t xml:space="preserve"> of the Mojave River, southwestern United States, investigated with single-pebble measurements of </w:t>
      </w:r>
      <w:r w:rsidRPr="006816D0">
        <w:rPr>
          <w:sz w:val="16"/>
          <w:vertAlign w:val="superscript"/>
        </w:rPr>
        <w:t>10</w:t>
      </w:r>
      <w:r w:rsidRPr="006816D0">
        <w:rPr>
          <w:sz w:val="16"/>
        </w:rPr>
        <w:t>Be: Geosphere, v. 11, doi:10.1130/GES01134.1.</w:t>
      </w:r>
    </w:p>
    <w:p w:rsidR="006816D0" w:rsidRDefault="006816D0">
      <w:pPr>
        <w:rPr>
          <w:sz w:val="16"/>
        </w:rPr>
      </w:pPr>
    </w:p>
    <w:p w:rsidR="006816D0" w:rsidRDefault="006816D0">
      <w:pPr>
        <w:rPr>
          <w:sz w:val="16"/>
        </w:rPr>
      </w:pPr>
      <w:r>
        <w:rPr>
          <w:sz w:val="16"/>
        </w:rPr>
        <w:t>http://dx.doi.org/10.1130/GES01134.S4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880"/>
        <w:gridCol w:w="826"/>
        <w:gridCol w:w="922"/>
        <w:gridCol w:w="684"/>
        <w:gridCol w:w="926"/>
        <w:gridCol w:w="758"/>
        <w:gridCol w:w="935"/>
        <w:gridCol w:w="831"/>
        <w:gridCol w:w="1119"/>
        <w:gridCol w:w="1210"/>
        <w:gridCol w:w="937"/>
        <w:gridCol w:w="880"/>
        <w:gridCol w:w="1133"/>
        <w:gridCol w:w="1213"/>
        <w:gridCol w:w="1999"/>
        <w:gridCol w:w="2243"/>
      </w:tblGrid>
      <w:tr w:rsidR="006816D0" w:rsidRPr="006A2C53" w:rsidTr="006816D0">
        <w:trPr>
          <w:trHeight w:val="81"/>
        </w:trPr>
        <w:tc>
          <w:tcPr>
            <w:tcW w:w="0" w:type="auto"/>
            <w:gridSpan w:val="16"/>
            <w:tcBorders>
              <w:bottom w:val="doub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SUPPLEMENTAL TABLE 3</w:t>
            </w:r>
            <w:bookmarkStart w:id="0" w:name="_GoBack"/>
            <w:bookmarkEnd w:id="0"/>
            <w:r>
              <w:rPr>
                <w:rFonts w:ascii="Helvetica" w:hAnsi="Helvetica"/>
                <w:sz w:val="16"/>
              </w:rPr>
              <w:t xml:space="preserve">. COSMOGENIC </w:t>
            </w:r>
            <w:r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 DATA of BINNIE ET AL. (2007) RE-NORMALIZED FOR COMPARISON TO MOJAVE RIVER PEBBLE DATA PRESENTED IN TABLE 2.</w:t>
            </w:r>
          </w:p>
        </w:tc>
      </w:tr>
      <w:tr w:rsidR="006816D0" w:rsidRPr="006A2C53" w:rsidTr="00A376EA"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Sample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6816D0" w:rsidRPr="00C94D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r w:rsidRPr="006A2C53">
              <w:rPr>
                <w:rFonts w:ascii="Helvetica" w:hAnsi="Helvetica"/>
                <w:sz w:val="16"/>
              </w:rPr>
              <w:t>Location</w:t>
            </w:r>
            <w:r>
              <w:rPr>
                <w:rFonts w:ascii="Helvetica" w:hAnsi="Helvetica"/>
                <w:sz w:val="16"/>
              </w:rPr>
              <w:t>*</w:t>
            </w:r>
            <w:r>
              <w:rPr>
                <w:rFonts w:ascii="Helvetica" w:hAnsi="Helvetica"/>
                <w:sz w:val="16"/>
                <w:vertAlign w:val="superscript"/>
              </w:rPr>
              <w:t>,†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>
              <w:rPr>
                <w:rFonts w:ascii="Helvetica" w:hAnsi="Helvetica"/>
                <w:sz w:val="16"/>
              </w:rPr>
              <w:t>Elev</w:t>
            </w:r>
            <w:proofErr w:type="spellEnd"/>
            <w:r>
              <w:rPr>
                <w:rFonts w:ascii="Helvetica" w:hAnsi="Helvetica"/>
                <w:sz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C94D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proofErr w:type="spellStart"/>
            <w:r w:rsidRPr="006A2C53">
              <w:rPr>
                <w:rFonts w:ascii="Helvetica" w:hAnsi="Helvetica"/>
                <w:sz w:val="16"/>
              </w:rPr>
              <w:t>Elv</w:t>
            </w:r>
            <w:proofErr w:type="spellEnd"/>
            <w:r w:rsidRPr="006A2C53">
              <w:rPr>
                <w:rFonts w:ascii="Helvetica" w:hAnsi="Helvetica"/>
                <w:sz w:val="16"/>
              </w:rPr>
              <w:t>. flag</w:t>
            </w:r>
            <w:r>
              <w:rPr>
                <w:rFonts w:ascii="Helvetica" w:hAnsi="Helvetica"/>
                <w:sz w:val="16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C426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r>
              <w:rPr>
                <w:rFonts w:ascii="Helvetica" w:hAnsi="Helvetica"/>
                <w:sz w:val="16"/>
              </w:rPr>
              <w:t>Thick</w:t>
            </w:r>
            <w:r>
              <w:rPr>
                <w:rFonts w:ascii="Helvetica" w:hAnsi="Helvetica"/>
                <w:sz w:val="16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Density</w:t>
            </w:r>
            <w:r>
              <w:rPr>
                <w:rFonts w:ascii="Helvetica" w:hAnsi="Helvetica"/>
                <w:sz w:val="16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Shield</w:t>
            </w:r>
            <w:r>
              <w:rPr>
                <w:rFonts w:ascii="Helvetica" w:hAnsi="Helvetica"/>
                <w:sz w:val="16"/>
                <w:vertAlign w:val="superscript"/>
              </w:rPr>
              <w:t>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C94D83" w:rsidRDefault="006816D0" w:rsidP="00A376EA">
            <w:pPr>
              <w:spacing w:before="240"/>
              <w:jc w:val="center"/>
              <w:rPr>
                <w:rFonts w:ascii="Helvetica" w:hAnsi="Helvetica"/>
                <w:sz w:val="16"/>
                <w:vertAlign w:val="superscript"/>
              </w:rPr>
            </w:pPr>
            <w:r w:rsidRPr="006A2C53"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Be/</w:t>
            </w:r>
            <w:r>
              <w:rPr>
                <w:rFonts w:ascii="Helvetica" w:hAnsi="Helvetica"/>
                <w:sz w:val="16"/>
                <w:vertAlign w:val="superscript"/>
              </w:rPr>
              <w:t>9</w:t>
            </w:r>
            <w:r>
              <w:rPr>
                <w:rFonts w:ascii="Helvetica" w:hAnsi="Helvetica"/>
                <w:sz w:val="16"/>
              </w:rPr>
              <w:t>Be*</w:t>
            </w:r>
            <w:r>
              <w:rPr>
                <w:rFonts w:ascii="Helvetica" w:hAnsi="Helvetica"/>
                <w:sz w:val="16"/>
                <w:vertAlign w:val="superscript"/>
              </w:rPr>
              <w:t>,#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Production rate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Quartz</w:t>
            </w:r>
            <w:r>
              <w:rPr>
                <w:rFonts w:ascii="Helvetica" w:hAnsi="Helvetica"/>
                <w:sz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Be carrier</w:t>
            </w:r>
            <w:r>
              <w:rPr>
                <w:rFonts w:ascii="Helvetica" w:hAnsi="Helvetica"/>
                <w:sz w:val="16"/>
              </w:rPr>
              <w:t>*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C42D37">
              <w:rPr>
                <w:rFonts w:ascii="Helvetica" w:hAnsi="Helvetica"/>
                <w:sz w:val="16"/>
              </w:rPr>
              <w:t>[</w:t>
            </w:r>
            <w:r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Be]*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C94D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r>
              <w:rPr>
                <w:rFonts w:ascii="Helvetica" w:hAnsi="Helvetica"/>
                <w:sz w:val="16"/>
              </w:rPr>
              <w:t>Denudation rate</w:t>
            </w:r>
            <w:r>
              <w:rPr>
                <w:rFonts w:ascii="Helvetica" w:hAnsi="Helvetica"/>
                <w:sz w:val="16"/>
                <w:vertAlign w:val="superscript"/>
              </w:rPr>
              <w:t>§§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Equivalent exposure age</w:t>
            </w:r>
            <w:r>
              <w:rPr>
                <w:rFonts w:ascii="Helvetica" w:hAnsi="Helvetica"/>
                <w:sz w:val="16"/>
                <w:vertAlign w:val="superscript"/>
              </w:rPr>
              <w:t>§§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Lat.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Long.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C426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r w:rsidRPr="006A2C53">
              <w:rPr>
                <w:rFonts w:ascii="Helvetica" w:hAnsi="Helvetica"/>
                <w:sz w:val="16"/>
              </w:rPr>
              <w:t>Spallation</w:t>
            </w:r>
            <w:r>
              <w:rPr>
                <w:rFonts w:ascii="Helvetica" w:hAnsi="Helvetica"/>
                <w:sz w:val="16"/>
              </w:rPr>
              <w:t>**</w:t>
            </w:r>
          </w:p>
        </w:tc>
        <w:tc>
          <w:tcPr>
            <w:tcW w:w="0" w:type="auto"/>
          </w:tcPr>
          <w:p w:rsidR="006816D0" w:rsidRPr="00C426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  <w:r w:rsidRPr="006A2C53">
              <w:rPr>
                <w:rFonts w:ascii="Helvetica" w:hAnsi="Helvetica"/>
                <w:sz w:val="16"/>
              </w:rPr>
              <w:t>Muons</w:t>
            </w:r>
            <w:r>
              <w:rPr>
                <w:rFonts w:ascii="Helvetica" w:hAnsi="Helvetica"/>
                <w:sz w:val="16"/>
                <w:vertAlign w:val="superscript"/>
              </w:rPr>
              <w:t>††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6816D0" w:rsidRPr="006A2C53" w:rsidTr="00A376EA"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(DD 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(DD W)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(cm)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(g/cm</w:t>
            </w:r>
            <w:r w:rsidRPr="006A2C53">
              <w:rPr>
                <w:rFonts w:ascii="Helvetica" w:hAnsi="Helvetica"/>
                <w:sz w:val="16"/>
                <w:vertAlign w:val="superscript"/>
              </w:rPr>
              <w:t>3</w:t>
            </w:r>
            <w:r w:rsidRPr="006A2C53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(x10</w:t>
            </w:r>
            <w:r>
              <w:rPr>
                <w:rFonts w:ascii="Helvetica" w:hAnsi="Helvetica"/>
                <w:sz w:val="16"/>
                <w:vertAlign w:val="superscript"/>
              </w:rPr>
              <w:t>-15</w:t>
            </w:r>
            <w:r w:rsidRPr="006A2C53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(at/g/y)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(at/g/y)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</w:t>
            </w:r>
            <w:r w:rsidRPr="004712D0">
              <w:rPr>
                <w:rFonts w:ascii="Symbol" w:hAnsi="Symbol"/>
                <w:sz w:val="16"/>
              </w:rPr>
              <w:t></w:t>
            </w:r>
            <w:r w:rsidRPr="006A2C53">
              <w:rPr>
                <w:rFonts w:ascii="Helvetica" w:hAnsi="Helvetica"/>
                <w:sz w:val="16"/>
              </w:rPr>
              <w:t>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(10</w:t>
            </w:r>
            <w:r>
              <w:rPr>
                <w:rFonts w:ascii="Helvetica" w:hAnsi="Helvetica"/>
                <w:sz w:val="16"/>
                <w:vertAlign w:val="superscript"/>
              </w:rPr>
              <w:t>4</w:t>
            </w:r>
            <w:r>
              <w:rPr>
                <w:rFonts w:ascii="Helvetica" w:hAnsi="Helvetica"/>
                <w:sz w:val="16"/>
              </w:rPr>
              <w:t xml:space="preserve"> at/g)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(m/My)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</w:t>
            </w:r>
            <w:proofErr w:type="spellStart"/>
            <w:r>
              <w:rPr>
                <w:rFonts w:ascii="Helvetica" w:hAnsi="Helvetica"/>
                <w:sz w:val="16"/>
              </w:rPr>
              <w:t>ky</w:t>
            </w:r>
            <w:proofErr w:type="spellEnd"/>
            <w:r>
              <w:rPr>
                <w:rFonts w:ascii="Helvetica" w:hAnsi="Helvetica"/>
                <w:sz w:val="16"/>
              </w:rPr>
              <w:t>)</w:t>
            </w:r>
          </w:p>
        </w:tc>
      </w:tr>
      <w:tr w:rsidR="006816D0" w:rsidRPr="006A2C53" w:rsidTr="00A376EA"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34.934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117.054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384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11.60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0.287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50.52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205.6 ± 2.1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10.11 ± 0.61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96.67 ± 5.92 (8.98)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7.84 ± 0.47 (0.83)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34.39</w:t>
            </w:r>
            <w:r>
              <w:rPr>
                <w:rFonts w:ascii="Helvetica" w:hAnsi="Helvetica"/>
                <w:sz w:val="16"/>
              </w:rPr>
              <w:t>7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117.07</w:t>
            </w:r>
            <w:r>
              <w:rPr>
                <w:rFonts w:ascii="Helvetica" w:hAnsi="Helvetica"/>
                <w:sz w:val="16"/>
              </w:rPr>
              <w:t>6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1540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248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12.82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0.300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29.88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208.7 ± 2.1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11.06 ± 0.72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95.88 ± 6.33 (9.28)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7.77 ± 0.51 (0.84)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34.404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117.06</w:t>
            </w:r>
            <w:r>
              <w:rPr>
                <w:rFonts w:ascii="Helvetica" w:hAnsi="Helvetica"/>
                <w:sz w:val="16"/>
              </w:rPr>
              <w:t>3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1690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155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14.24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0.315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27.97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155.2 ± 1.6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8.42 ± 0.65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138.45 ± 10.82 (14.64)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5.33 ± 0.41 (0.62)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34.37</w:t>
            </w:r>
            <w:r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117.091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1750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649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27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14.84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0.321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39.70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201.3 ± 2.0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21.51 ± 0.94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54.95 ± 2.44 (4.71)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13.11 ± 0.58 (1.28)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16***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34.27</w:t>
            </w:r>
            <w:r>
              <w:rPr>
                <w:rFonts w:ascii="Helvetica" w:hAnsi="Helvetica"/>
                <w:sz w:val="16"/>
              </w:rPr>
              <w:t>6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117.031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2200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324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17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20.05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0.368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44.28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208.0 ± 2.1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9.73 ± 0.55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160.66 ± 9.15 (15.01)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4.39 ± 0.24 (0.45)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17***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34.27</w:t>
            </w:r>
            <w:r>
              <w:rPr>
                <w:rFonts w:ascii="Helvetica" w:hAnsi="Helvetica"/>
                <w:sz w:val="16"/>
              </w:rPr>
              <w:t>9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117.063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1970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448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17.21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0.343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47.08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207.3 ± 2.1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12.77 ± 0.58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106.66 ± 4.89 (9.22)</w:t>
            </w:r>
          </w:p>
        </w:tc>
        <w:tc>
          <w:tcPr>
            <w:tcW w:w="0" w:type="auto"/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6.71 ± 0.31 (0.66)</w:t>
            </w:r>
          </w:p>
        </w:tc>
      </w:tr>
      <w:tr w:rsidR="006816D0" w:rsidRPr="006A2C53" w:rsidTr="00A376EA"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18***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34.280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117.041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proofErr w:type="spellStart"/>
            <w:r w:rsidRPr="00286FD6">
              <w:rPr>
                <w:rFonts w:ascii="Helvetica" w:hAnsi="Helvetica"/>
                <w:sz w:val="16"/>
              </w:rPr>
              <w:t>std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2.65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709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17.56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0.346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53.28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206.3 ± 2.1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18.06 ± 1.00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76.24 ± 4.28 (7.08)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286FD6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286FD6">
              <w:rPr>
                <w:rFonts w:ascii="Helvetica" w:hAnsi="Helvetica"/>
                <w:sz w:val="16"/>
              </w:rPr>
              <w:t>9.31 ± 0.52 (0.96)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C94D83" w:rsidRDefault="006816D0" w:rsidP="00A376EA">
            <w:pPr>
              <w:spacing w:before="240"/>
              <w:jc w:val="center"/>
              <w:rPr>
                <w:rFonts w:ascii="Helvetica" w:hAnsi="Helvetica"/>
                <w:sz w:val="16"/>
                <w:vertAlign w:val="superscript"/>
              </w:rPr>
            </w:pPr>
            <w:r w:rsidRPr="006A2C53"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Be/</w:t>
            </w:r>
            <w:r>
              <w:rPr>
                <w:rFonts w:ascii="Helvetica" w:hAnsi="Helvetica"/>
                <w:sz w:val="16"/>
                <w:vertAlign w:val="superscript"/>
              </w:rPr>
              <w:t>9</w:t>
            </w:r>
            <w:r>
              <w:rPr>
                <w:rFonts w:ascii="Helvetica" w:hAnsi="Helvetica"/>
                <w:sz w:val="16"/>
              </w:rPr>
              <w:t>Be</w:t>
            </w:r>
            <w:r w:rsidRPr="00C94D83">
              <w:rPr>
                <w:rFonts w:ascii="Helvetica" w:hAnsi="Helvetica"/>
                <w:sz w:val="16"/>
                <w:vertAlign w:val="superscript"/>
              </w:rPr>
              <w:t>##</w:t>
            </w:r>
          </w:p>
        </w:tc>
        <w:tc>
          <w:tcPr>
            <w:tcW w:w="0" w:type="auto"/>
            <w:gridSpan w:val="2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C42D37">
              <w:rPr>
                <w:rFonts w:ascii="Helvetica" w:hAnsi="Helvetica"/>
                <w:sz w:val="16"/>
              </w:rPr>
              <w:t>[</w:t>
            </w:r>
            <w:r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Be]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Denudation rate</w:t>
            </w:r>
            <w:r>
              <w:rPr>
                <w:rFonts w:ascii="Helvetica" w:hAnsi="Helvetica"/>
                <w:sz w:val="16"/>
                <w:vertAlign w:val="superscript"/>
              </w:rPr>
              <w:t>§§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Equivalent exposure age</w:t>
            </w:r>
            <w:r>
              <w:rPr>
                <w:rFonts w:ascii="Helvetica" w:hAnsi="Helvetica"/>
                <w:sz w:val="16"/>
                <w:vertAlign w:val="superscript"/>
              </w:rPr>
              <w:t>§§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C426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</w:p>
        </w:tc>
        <w:tc>
          <w:tcPr>
            <w:tcW w:w="0" w:type="auto"/>
          </w:tcPr>
          <w:p w:rsidR="006816D0" w:rsidRPr="00C42683" w:rsidRDefault="006816D0" w:rsidP="00A376EA">
            <w:pPr>
              <w:jc w:val="center"/>
              <w:rPr>
                <w:rFonts w:ascii="Helvetica" w:hAnsi="Helvetica"/>
                <w:sz w:val="16"/>
                <w:vertAlign w:val="superscript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</w:tr>
      <w:tr w:rsidR="006816D0" w:rsidRPr="006A2C53" w:rsidTr="00A376EA"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 w:rsidRPr="006A2C53">
              <w:rPr>
                <w:rFonts w:ascii="Helvetica" w:hAnsi="Helvetica"/>
                <w:sz w:val="16"/>
              </w:rPr>
              <w:t>(x10</w:t>
            </w:r>
            <w:r>
              <w:rPr>
                <w:rFonts w:ascii="Helvetica" w:hAnsi="Helvetica"/>
                <w:sz w:val="16"/>
                <w:vertAlign w:val="superscript"/>
              </w:rPr>
              <w:t>-15</w:t>
            </w:r>
            <w:r w:rsidRPr="006A2C53">
              <w:rPr>
                <w:rFonts w:ascii="Helvetica" w:hAnsi="Helvetica"/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(10</w:t>
            </w:r>
            <w:r>
              <w:rPr>
                <w:rFonts w:ascii="Helvetica" w:hAnsi="Helvetica"/>
                <w:sz w:val="16"/>
                <w:vertAlign w:val="superscript"/>
              </w:rPr>
              <w:t>4</w:t>
            </w:r>
            <w:r>
              <w:rPr>
                <w:rFonts w:ascii="Helvetica" w:hAnsi="Helvetica"/>
                <w:sz w:val="16"/>
              </w:rPr>
              <w:t xml:space="preserve"> at/g)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(m/My)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</w:t>
            </w:r>
            <w:proofErr w:type="spellStart"/>
            <w:r>
              <w:rPr>
                <w:rFonts w:ascii="Helvetica" w:hAnsi="Helvetica"/>
                <w:sz w:val="16"/>
              </w:rPr>
              <w:t>ky</w:t>
            </w:r>
            <w:proofErr w:type="spellEnd"/>
            <w:r>
              <w:rPr>
                <w:rFonts w:ascii="Helvetica" w:hAnsi="Helvetica"/>
                <w:sz w:val="16"/>
              </w:rPr>
              <w:t>)</w:t>
            </w:r>
          </w:p>
        </w:tc>
      </w:tr>
      <w:tr w:rsidR="006816D0" w:rsidRPr="006A2C53" w:rsidTr="00A376EA"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399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10.85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82.05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4.80 (7.50)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9.20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0.53 (0.96)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15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258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23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12.04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1.07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79.50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7.23 (9.18)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9.35 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0.84 (1.17)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19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161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5.97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0.07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177.77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2.22 (12.80)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4.17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0.05 (0.37)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20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675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28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22.87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0.95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46.62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1.97 (3.96)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15.39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0.64 (1.49)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16***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337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18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10.58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0.57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133.67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7.20 (12.25)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5.27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0.28 (0.54)</w:t>
            </w:r>
          </w:p>
        </w:tc>
      </w:tr>
      <w:tr w:rsidR="006816D0" w:rsidRPr="006A2C53" w:rsidTr="00A376EA">
        <w:tc>
          <w:tcPr>
            <w:tcW w:w="0" w:type="auto"/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17***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466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2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13.71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0.59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89.78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3.89 (7.66)</w:t>
            </w:r>
          </w:p>
        </w:tc>
        <w:tc>
          <w:tcPr>
            <w:tcW w:w="0" w:type="auto"/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7.96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0.34 (0.77)</w:t>
            </w:r>
          </w:p>
        </w:tc>
      </w:tr>
      <w:tr w:rsidR="006816D0" w:rsidRPr="006A2C53" w:rsidTr="00A376EA"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18***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737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19.07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1.06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65.23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3.68 (6.08)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16D0" w:rsidRPr="006A2C53" w:rsidRDefault="006816D0" w:rsidP="00A376EA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10.86</w:t>
            </w:r>
            <w:r w:rsidRPr="00286FD6">
              <w:rPr>
                <w:rFonts w:ascii="Helvetica" w:hAnsi="Helvetica"/>
                <w:sz w:val="16"/>
              </w:rPr>
              <w:t xml:space="preserve"> ± </w:t>
            </w:r>
            <w:r>
              <w:rPr>
                <w:rFonts w:ascii="Helvetica" w:hAnsi="Helvetica"/>
                <w:sz w:val="16"/>
              </w:rPr>
              <w:t>0.61 (1.12)</w:t>
            </w:r>
          </w:p>
        </w:tc>
      </w:tr>
      <w:tr w:rsidR="006816D0" w:rsidRPr="006A2C53" w:rsidTr="00A376EA">
        <w:tc>
          <w:tcPr>
            <w:tcW w:w="0" w:type="auto"/>
            <w:gridSpan w:val="16"/>
            <w:tcBorders>
              <w:top w:val="single" w:sz="4" w:space="0" w:color="auto"/>
            </w:tcBorders>
          </w:tcPr>
          <w:p w:rsidR="006816D0" w:rsidRPr="006A2C53" w:rsidRDefault="006816D0" w:rsidP="00A376E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*As reported in Binnie et al. (2007).</w:t>
            </w:r>
          </w:p>
        </w:tc>
      </w:tr>
      <w:tr w:rsidR="006816D0" w:rsidRPr="006A2C53" w:rsidTr="00A376EA">
        <w:tc>
          <w:tcPr>
            <w:tcW w:w="0" w:type="auto"/>
            <w:gridSpan w:val="16"/>
          </w:tcPr>
          <w:p w:rsidR="006816D0" w:rsidRPr="006A2C53" w:rsidRDefault="006816D0" w:rsidP="00A376EA">
            <w:pPr>
              <w:rPr>
                <w:rFonts w:ascii="Helvetica" w:hAnsi="Helvetica"/>
                <w:sz w:val="16"/>
              </w:rPr>
            </w:pPr>
            <w:r w:rsidRPr="00C42683">
              <w:rPr>
                <w:rFonts w:ascii="Helvetica" w:hAnsi="Helvetica"/>
                <w:sz w:val="16"/>
                <w:vertAlign w:val="superscript"/>
              </w:rPr>
              <w:t>†</w:t>
            </w:r>
            <w:r>
              <w:rPr>
                <w:rFonts w:ascii="Helvetica" w:hAnsi="Helvetica"/>
                <w:sz w:val="16"/>
              </w:rPr>
              <w:t>WGS84</w:t>
            </w:r>
          </w:p>
        </w:tc>
      </w:tr>
      <w:tr w:rsidR="006816D0" w:rsidRPr="006A2C53" w:rsidTr="00A376EA">
        <w:tc>
          <w:tcPr>
            <w:tcW w:w="0" w:type="auto"/>
            <w:gridSpan w:val="16"/>
          </w:tcPr>
          <w:p w:rsidR="006816D0" w:rsidRPr="00C42683" w:rsidRDefault="006816D0" w:rsidP="00A376EA">
            <w:pPr>
              <w:rPr>
                <w:rFonts w:ascii="Helvetica" w:hAnsi="Helvetica"/>
                <w:sz w:val="16"/>
              </w:rPr>
            </w:pPr>
            <w:r w:rsidRPr="00C42683">
              <w:rPr>
                <w:rFonts w:ascii="Helvetica" w:hAnsi="Helvetica"/>
                <w:sz w:val="16"/>
                <w:vertAlign w:val="superscript"/>
              </w:rPr>
              <w:t>§</w:t>
            </w:r>
            <w:r>
              <w:rPr>
                <w:rFonts w:ascii="Helvetica" w:hAnsi="Helvetica"/>
                <w:sz w:val="16"/>
              </w:rPr>
              <w:t xml:space="preserve">Used in our CRONUS calculations so that Binnie et al.'s (2007) </w:t>
            </w:r>
            <w:r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 concentrations would be consistent with our Mojave River pebble data.</w:t>
            </w:r>
          </w:p>
        </w:tc>
      </w:tr>
      <w:tr w:rsidR="006816D0" w:rsidRPr="006A2C53" w:rsidTr="00A376EA">
        <w:tc>
          <w:tcPr>
            <w:tcW w:w="0" w:type="auto"/>
            <w:gridSpan w:val="16"/>
          </w:tcPr>
          <w:p w:rsidR="006816D0" w:rsidRPr="00C94D83" w:rsidRDefault="006816D0" w:rsidP="00A376EA">
            <w:pPr>
              <w:rPr>
                <w:rFonts w:ascii="Helvetica" w:hAnsi="Helvetica"/>
                <w:sz w:val="16"/>
              </w:rPr>
            </w:pPr>
            <w:r w:rsidRPr="00C94D83">
              <w:rPr>
                <w:rFonts w:ascii="Helvetica" w:hAnsi="Helvetica"/>
                <w:sz w:val="16"/>
                <w:vertAlign w:val="superscript"/>
              </w:rPr>
              <w:t>#</w:t>
            </w:r>
            <w:r w:rsidRPr="00C94D83">
              <w:rPr>
                <w:rFonts w:ascii="Helvetica" w:hAnsi="Helvetica"/>
                <w:sz w:val="16"/>
              </w:rPr>
              <w:t>Ratios</w:t>
            </w:r>
            <w:r>
              <w:rPr>
                <w:rFonts w:ascii="Helvetica" w:hAnsi="Helvetica"/>
                <w:sz w:val="16"/>
              </w:rPr>
              <w:t xml:space="preserve"> already corrected for background (Binnie et al., 2007).</w:t>
            </w:r>
          </w:p>
        </w:tc>
      </w:tr>
      <w:tr w:rsidR="006816D0" w:rsidRPr="006A2C53" w:rsidTr="00A376EA">
        <w:tc>
          <w:tcPr>
            <w:tcW w:w="0" w:type="auto"/>
            <w:gridSpan w:val="16"/>
          </w:tcPr>
          <w:p w:rsidR="006816D0" w:rsidRPr="006A2C53" w:rsidRDefault="006816D0" w:rsidP="00A376EA">
            <w:pPr>
              <w:rPr>
                <w:rFonts w:ascii="Helvetica" w:hAnsi="Helvetica"/>
                <w:sz w:val="16"/>
              </w:rPr>
            </w:pPr>
            <w:r w:rsidRPr="00C94D83">
              <w:rPr>
                <w:rFonts w:ascii="Helvetica" w:hAnsi="Helvetica"/>
                <w:sz w:val="16"/>
              </w:rPr>
              <w:t>**</w:t>
            </w:r>
            <w:r>
              <w:rPr>
                <w:rFonts w:ascii="Helvetica" w:hAnsi="Helvetica"/>
                <w:sz w:val="16"/>
              </w:rPr>
              <w:t>Constant (time invariant) local production rate based on Lal (1991) and Stone (2000).  Refer to CRONUS Earth calculator documentation (</w:t>
            </w:r>
            <w:proofErr w:type="spellStart"/>
            <w:r>
              <w:rPr>
                <w:rFonts w:ascii="Helvetica" w:hAnsi="Helvetica"/>
                <w:sz w:val="16"/>
              </w:rPr>
              <w:t>Balco</w:t>
            </w:r>
            <w:proofErr w:type="spellEnd"/>
            <w:r>
              <w:rPr>
                <w:rFonts w:ascii="Helvetica" w:hAnsi="Helvetica"/>
                <w:sz w:val="16"/>
              </w:rPr>
              <w:t xml:space="preserve"> et al., 2008).</w:t>
            </w:r>
          </w:p>
        </w:tc>
      </w:tr>
      <w:tr w:rsidR="006816D0" w:rsidRPr="006A2C53" w:rsidTr="00A376EA">
        <w:tc>
          <w:tcPr>
            <w:tcW w:w="0" w:type="auto"/>
            <w:gridSpan w:val="16"/>
          </w:tcPr>
          <w:p w:rsidR="006816D0" w:rsidRPr="00C94D83" w:rsidRDefault="006816D0" w:rsidP="00A376EA">
            <w:pPr>
              <w:rPr>
                <w:rFonts w:ascii="Helvetica" w:hAnsi="Helvetica"/>
                <w:sz w:val="16"/>
              </w:rPr>
            </w:pPr>
            <w:r w:rsidRPr="00C42683">
              <w:rPr>
                <w:rFonts w:ascii="Helvetica" w:hAnsi="Helvetica"/>
                <w:sz w:val="16"/>
                <w:vertAlign w:val="superscript"/>
              </w:rPr>
              <w:t>††</w:t>
            </w:r>
            <w:r>
              <w:rPr>
                <w:rFonts w:ascii="Helvetica" w:hAnsi="Helvetica"/>
                <w:sz w:val="16"/>
              </w:rPr>
              <w:t xml:space="preserve">Constant (time invariant) local production rate based on </w:t>
            </w:r>
            <w:proofErr w:type="spellStart"/>
            <w:r>
              <w:rPr>
                <w:rFonts w:ascii="Helvetica" w:hAnsi="Helvetica"/>
                <w:sz w:val="16"/>
              </w:rPr>
              <w:t>Heisinger</w:t>
            </w:r>
            <w:proofErr w:type="spellEnd"/>
            <w:r>
              <w:rPr>
                <w:rFonts w:ascii="Helvetica" w:hAnsi="Helvetica"/>
                <w:sz w:val="16"/>
              </w:rPr>
              <w:t xml:space="preserve"> et al. (2002a, 2002b).  Refer to CRONUS Earth calculator documentation (</w:t>
            </w:r>
            <w:proofErr w:type="spellStart"/>
            <w:r>
              <w:rPr>
                <w:rFonts w:ascii="Helvetica" w:hAnsi="Helvetica"/>
                <w:sz w:val="16"/>
              </w:rPr>
              <w:t>Balco</w:t>
            </w:r>
            <w:proofErr w:type="spellEnd"/>
            <w:r>
              <w:rPr>
                <w:rFonts w:ascii="Helvetica" w:hAnsi="Helvetica"/>
                <w:sz w:val="16"/>
              </w:rPr>
              <w:t xml:space="preserve"> et al., 2008).</w:t>
            </w:r>
          </w:p>
        </w:tc>
      </w:tr>
      <w:tr w:rsidR="006816D0" w:rsidRPr="00C94D83" w:rsidTr="00A376EA">
        <w:tc>
          <w:tcPr>
            <w:tcW w:w="0" w:type="auto"/>
            <w:gridSpan w:val="16"/>
          </w:tcPr>
          <w:p w:rsidR="006816D0" w:rsidRPr="00C94D83" w:rsidRDefault="006816D0" w:rsidP="00A376EA">
            <w:pPr>
              <w:rPr>
                <w:rFonts w:ascii="Helvetica" w:hAnsi="Helvetica"/>
                <w:sz w:val="16"/>
              </w:rPr>
            </w:pPr>
            <w:r w:rsidRPr="00C94D83">
              <w:rPr>
                <w:rFonts w:ascii="Helvetica" w:hAnsi="Helvetica"/>
                <w:sz w:val="16"/>
                <w:vertAlign w:val="superscript"/>
              </w:rPr>
              <w:t>§§</w:t>
            </w:r>
            <w:r w:rsidRPr="00C94D83">
              <w:rPr>
                <w:rFonts w:ascii="Helvetica" w:hAnsi="Helvetica"/>
                <w:sz w:val="16"/>
              </w:rPr>
              <w:t xml:space="preserve">Stated uncertainty is the internal uncertainty, which include error in the blanks, carrier mass (1%), and AMS counting statistics.  Parenthetical uncertainty is the external uncertainty, which includes uncertainties in the </w:t>
            </w:r>
            <w:r w:rsidRPr="00C94D83">
              <w:rPr>
                <w:rFonts w:ascii="Helvetica" w:hAnsi="Helvetica"/>
                <w:sz w:val="16"/>
                <w:vertAlign w:val="superscript"/>
              </w:rPr>
              <w:t>10</w:t>
            </w:r>
            <w:r w:rsidRPr="00C94D83">
              <w:rPr>
                <w:rFonts w:ascii="Helvetica" w:hAnsi="Helvetica"/>
                <w:sz w:val="16"/>
              </w:rPr>
              <w:t>Be production rate and decay constant.</w:t>
            </w:r>
          </w:p>
        </w:tc>
      </w:tr>
      <w:tr w:rsidR="006816D0" w:rsidRPr="00C94D83" w:rsidTr="00A376EA">
        <w:tc>
          <w:tcPr>
            <w:tcW w:w="0" w:type="auto"/>
            <w:gridSpan w:val="16"/>
          </w:tcPr>
          <w:p w:rsidR="006816D0" w:rsidRPr="00C94D83" w:rsidRDefault="006816D0" w:rsidP="00A376EA">
            <w:pPr>
              <w:rPr>
                <w:rFonts w:ascii="Helvetica" w:hAnsi="Helvetica"/>
                <w:sz w:val="16"/>
              </w:rPr>
            </w:pPr>
            <w:r w:rsidRPr="00C94D83">
              <w:rPr>
                <w:rFonts w:ascii="Helvetica" w:hAnsi="Helvetica"/>
                <w:sz w:val="16"/>
                <w:vertAlign w:val="superscript"/>
              </w:rPr>
              <w:t>##</w:t>
            </w:r>
            <w:r>
              <w:rPr>
                <w:rFonts w:ascii="Helvetica" w:hAnsi="Helvetica"/>
                <w:sz w:val="16"/>
              </w:rPr>
              <w:t>As determined by our renormalization from the NIST standard series to the revised ICN standard series (</w:t>
            </w:r>
            <w:proofErr w:type="spellStart"/>
            <w:r>
              <w:rPr>
                <w:rFonts w:ascii="Helvetica" w:hAnsi="Helvetica"/>
                <w:sz w:val="16"/>
              </w:rPr>
              <w:t>Nishiizumi</w:t>
            </w:r>
            <w:proofErr w:type="spellEnd"/>
            <w:r>
              <w:rPr>
                <w:rFonts w:ascii="Helvetica" w:hAnsi="Helvetica"/>
                <w:sz w:val="16"/>
              </w:rPr>
              <w:t xml:space="preserve"> et al., 2007).  Equals the reported </w:t>
            </w:r>
            <w:r>
              <w:rPr>
                <w:rFonts w:ascii="Helvetica" w:hAnsi="Helvetica"/>
                <w:sz w:val="16"/>
                <w:vertAlign w:val="superscript"/>
              </w:rPr>
              <w:t>10</w:t>
            </w:r>
            <w:r>
              <w:rPr>
                <w:rFonts w:ascii="Helvetica" w:hAnsi="Helvetica"/>
                <w:sz w:val="16"/>
              </w:rPr>
              <w:t>Be/</w:t>
            </w:r>
            <w:r>
              <w:rPr>
                <w:rFonts w:ascii="Helvetica" w:hAnsi="Helvetica"/>
                <w:sz w:val="16"/>
                <w:vertAlign w:val="superscript"/>
              </w:rPr>
              <w:t>9</w:t>
            </w:r>
            <w:r>
              <w:rPr>
                <w:rFonts w:ascii="Helvetica" w:hAnsi="Helvetica"/>
                <w:sz w:val="16"/>
              </w:rPr>
              <w:t>Be ratio x1.04.</w:t>
            </w:r>
          </w:p>
        </w:tc>
      </w:tr>
      <w:tr w:rsidR="006816D0" w:rsidRPr="00C94D83" w:rsidTr="00A376EA">
        <w:tc>
          <w:tcPr>
            <w:tcW w:w="0" w:type="auto"/>
            <w:gridSpan w:val="16"/>
            <w:tcBorders>
              <w:bottom w:val="single" w:sz="4" w:space="0" w:color="auto"/>
            </w:tcBorders>
          </w:tcPr>
          <w:p w:rsidR="006816D0" w:rsidRPr="00C94D83" w:rsidRDefault="006816D0" w:rsidP="00A376EA">
            <w:pPr>
              <w:rPr>
                <w:rFonts w:ascii="Helvetica" w:hAnsi="Helvetica"/>
                <w:sz w:val="16"/>
              </w:rPr>
            </w:pPr>
            <w:r w:rsidRPr="00C94D83">
              <w:rPr>
                <w:rFonts w:ascii="Helvetica" w:hAnsi="Helvetica"/>
                <w:sz w:val="16"/>
              </w:rPr>
              <w:t>***Samples collected from within the Mojave River Basin.</w:t>
            </w:r>
          </w:p>
        </w:tc>
      </w:tr>
    </w:tbl>
    <w:p w:rsidR="006816D0" w:rsidRPr="006A2C53" w:rsidRDefault="006816D0">
      <w:pPr>
        <w:rPr>
          <w:sz w:val="16"/>
        </w:rPr>
      </w:pPr>
    </w:p>
    <w:sectPr w:rsidR="006816D0" w:rsidRPr="006A2C53" w:rsidSect="00CB1E04">
      <w:pgSz w:w="2016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2C53"/>
    <w:rsid w:val="00252DA8"/>
    <w:rsid w:val="002758BD"/>
    <w:rsid w:val="00285838"/>
    <w:rsid w:val="00286FD6"/>
    <w:rsid w:val="00317DF5"/>
    <w:rsid w:val="004712D0"/>
    <w:rsid w:val="00496E94"/>
    <w:rsid w:val="00530E3B"/>
    <w:rsid w:val="005E1BBF"/>
    <w:rsid w:val="006816D0"/>
    <w:rsid w:val="00692C1B"/>
    <w:rsid w:val="006A2C53"/>
    <w:rsid w:val="006D1159"/>
    <w:rsid w:val="00957305"/>
    <w:rsid w:val="00960341"/>
    <w:rsid w:val="00970A93"/>
    <w:rsid w:val="00A77D94"/>
    <w:rsid w:val="00C42683"/>
    <w:rsid w:val="00C42D37"/>
    <w:rsid w:val="00C80647"/>
    <w:rsid w:val="00C94D83"/>
    <w:rsid w:val="00CB1E04"/>
    <w:rsid w:val="00DA3FEE"/>
    <w:rsid w:val="00E04428"/>
    <w:rsid w:val="00E81B3A"/>
    <w:rsid w:val="00EF3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>US Geological Survey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Cyr</dc:creator>
  <cp:keywords/>
  <cp:lastModifiedBy>Bridgette</cp:lastModifiedBy>
  <cp:revision>3</cp:revision>
  <cp:lastPrinted>2014-06-04T16:18:00Z</cp:lastPrinted>
  <dcterms:created xsi:type="dcterms:W3CDTF">2015-04-14T18:14:00Z</dcterms:created>
  <dcterms:modified xsi:type="dcterms:W3CDTF">2015-06-15T19:35:00Z</dcterms:modified>
</cp:coreProperties>
</file>