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D2148" w14:textId="1FBAA2BC" w:rsidR="006D1DBD" w:rsidRPr="00F16D09" w:rsidRDefault="00EF47C7" w:rsidP="006D1DBD">
      <w:pPr>
        <w:pStyle w:val="Title"/>
        <w:suppressAutoHyphens/>
        <w:jc w:val="left"/>
        <w:rPr>
          <w:rFonts w:ascii="Times New Roman" w:hAnsi="Times New Roman" w:cs="Times New Roman"/>
          <w:b/>
          <w:bCs/>
          <w:sz w:val="24"/>
        </w:rPr>
      </w:pPr>
      <w:r>
        <w:rPr>
          <w:rFonts w:ascii="Times New Roman" w:hAnsi="Times New Roman" w:cs="Times New Roman"/>
          <w:color w:val="000000" w:themeColor="text1"/>
          <w:sz w:val="24"/>
        </w:rPr>
        <w:t>Supplemental Item A</w:t>
      </w:r>
      <w:r w:rsidR="006D1DBD" w:rsidRPr="009F00D9">
        <w:rPr>
          <w:rFonts w:ascii="Times New Roman" w:hAnsi="Times New Roman" w:cs="Times New Roman"/>
          <w:color w:val="000000" w:themeColor="text1"/>
          <w:sz w:val="24"/>
        </w:rPr>
        <w:t xml:space="preserve">: </w:t>
      </w:r>
      <w:r w:rsidR="006D1DBD" w:rsidRPr="009F00D9">
        <w:rPr>
          <w:rFonts w:ascii="Times New Roman" w:hAnsi="Times New Roman" w:cs="Times New Roman"/>
          <w:sz w:val="24"/>
        </w:rPr>
        <w:t xml:space="preserve">Supplemental Analytical Methods </w:t>
      </w:r>
      <w:r w:rsidR="00F16D09" w:rsidRPr="00F16D09">
        <w:rPr>
          <w:rFonts w:ascii="Times New Roman" w:hAnsi="Times New Roman" w:cs="Times New Roman"/>
          <w:sz w:val="24"/>
        </w:rPr>
        <w:t>for</w:t>
      </w:r>
      <w:r w:rsidR="00F16D09">
        <w:rPr>
          <w:rFonts w:ascii="Times New Roman" w:hAnsi="Times New Roman" w:cs="Times New Roman"/>
          <w:b/>
          <w:bCs/>
          <w:sz w:val="24"/>
        </w:rPr>
        <w:t xml:space="preserve"> </w:t>
      </w:r>
      <w:r w:rsidR="006D1DBD" w:rsidRPr="009F00D9">
        <w:rPr>
          <w:rFonts w:ascii="Times New Roman" w:hAnsi="Times New Roman" w:cs="Times New Roman"/>
          <w:color w:val="000000" w:themeColor="text1"/>
          <w:sz w:val="24"/>
        </w:rPr>
        <w:t>Subduction Initiation recorded in the Dadeville Complex of Alabama and Georgia, USA</w:t>
      </w:r>
    </w:p>
    <w:p w14:paraId="63426D11" w14:textId="77777777" w:rsidR="006D1DBD" w:rsidRPr="009F00D9" w:rsidRDefault="006D1DBD" w:rsidP="006D1DBD">
      <w:pPr>
        <w:contextualSpacing/>
        <w:rPr>
          <w:rFonts w:ascii="Times New Roman" w:hAnsi="Times New Roman" w:cs="Times New Roman"/>
          <w:color w:val="000000" w:themeColor="text1"/>
          <w:vertAlign w:val="superscript"/>
          <w:lang w:val="en-GB"/>
        </w:rPr>
      </w:pPr>
      <w:r w:rsidRPr="009F00D9">
        <w:rPr>
          <w:rFonts w:ascii="Times New Roman" w:hAnsi="Times New Roman" w:cs="Times New Roman"/>
          <w:i/>
          <w:iCs/>
          <w:color w:val="000000" w:themeColor="text1"/>
        </w:rPr>
        <w:t>Naomi A. Becker</w:t>
      </w:r>
      <w:r w:rsidRPr="009F00D9">
        <w:rPr>
          <w:rFonts w:ascii="Times New Roman" w:hAnsi="Times New Roman" w:cs="Times New Roman"/>
          <w:color w:val="000000" w:themeColor="text1"/>
          <w:vertAlign w:val="superscript"/>
          <w:lang w:val="en-GB"/>
        </w:rPr>
        <w:t>1*</w:t>
      </w:r>
      <w:r w:rsidRPr="009F00D9">
        <w:rPr>
          <w:rFonts w:ascii="Times New Roman" w:hAnsi="Times New Roman" w:cs="Times New Roman"/>
          <w:i/>
          <w:iCs/>
          <w:color w:val="000000" w:themeColor="text1"/>
        </w:rPr>
        <w:t>, Freya R. George</w:t>
      </w:r>
      <w:r w:rsidRPr="009F00D9">
        <w:rPr>
          <w:rFonts w:ascii="Times New Roman" w:hAnsi="Times New Roman" w:cs="Times New Roman"/>
          <w:color w:val="000000" w:themeColor="text1"/>
          <w:vertAlign w:val="superscript"/>
          <w:lang w:val="en-GB"/>
        </w:rPr>
        <w:t>1,2</w:t>
      </w:r>
      <w:r w:rsidRPr="009F00D9">
        <w:rPr>
          <w:rFonts w:ascii="Times New Roman" w:hAnsi="Times New Roman" w:cs="Times New Roman"/>
          <w:i/>
          <w:iCs/>
          <w:color w:val="000000" w:themeColor="text1"/>
        </w:rPr>
        <w:t>, George L. Guice</w:t>
      </w:r>
      <w:r w:rsidRPr="009F00D9">
        <w:rPr>
          <w:rFonts w:ascii="Times New Roman" w:hAnsi="Times New Roman" w:cs="Times New Roman"/>
          <w:i/>
          <w:iCs/>
          <w:color w:val="000000" w:themeColor="text1"/>
          <w:vertAlign w:val="superscript"/>
        </w:rPr>
        <w:t>1,3</w:t>
      </w:r>
      <w:r w:rsidRPr="009F00D9">
        <w:rPr>
          <w:rFonts w:ascii="Times New Roman" w:hAnsi="Times New Roman" w:cs="Times New Roman"/>
          <w:i/>
          <w:iCs/>
          <w:color w:val="000000" w:themeColor="text1"/>
        </w:rPr>
        <w:t>, James L. Crowley</w:t>
      </w:r>
      <w:r w:rsidRPr="009F00D9">
        <w:rPr>
          <w:rFonts w:ascii="Times New Roman" w:hAnsi="Times New Roman" w:cs="Times New Roman"/>
          <w:i/>
          <w:iCs/>
          <w:color w:val="000000" w:themeColor="text1"/>
          <w:vertAlign w:val="superscript"/>
        </w:rPr>
        <w:t>4</w:t>
      </w:r>
      <w:r w:rsidRPr="009F00D9">
        <w:rPr>
          <w:rFonts w:ascii="Times New Roman" w:hAnsi="Times New Roman" w:cs="Times New Roman"/>
          <w:i/>
          <w:iCs/>
          <w:color w:val="000000" w:themeColor="text1"/>
        </w:rPr>
        <w:t>, Wendy R. Nelson</w:t>
      </w:r>
      <w:r w:rsidRPr="009F00D9">
        <w:rPr>
          <w:rFonts w:ascii="Times New Roman" w:hAnsi="Times New Roman" w:cs="Times New Roman"/>
          <w:i/>
          <w:iCs/>
          <w:color w:val="000000" w:themeColor="text1"/>
          <w:vertAlign w:val="superscript"/>
        </w:rPr>
        <w:t>5</w:t>
      </w:r>
      <w:r w:rsidRPr="009F00D9">
        <w:rPr>
          <w:rFonts w:ascii="Times New Roman" w:hAnsi="Times New Roman" w:cs="Times New Roman"/>
          <w:i/>
          <w:iCs/>
          <w:color w:val="000000" w:themeColor="text1"/>
        </w:rPr>
        <w:t>, Joseph F. Browning-Hanson</w:t>
      </w:r>
      <w:r w:rsidRPr="009F00D9">
        <w:rPr>
          <w:rFonts w:ascii="Times New Roman" w:hAnsi="Times New Roman" w:cs="Times New Roman"/>
          <w:i/>
          <w:iCs/>
          <w:color w:val="000000" w:themeColor="text1"/>
          <w:vertAlign w:val="superscript"/>
        </w:rPr>
        <w:t>1</w:t>
      </w:r>
      <w:r w:rsidRPr="009F00D9">
        <w:rPr>
          <w:rFonts w:ascii="Times New Roman" w:hAnsi="Times New Roman" w:cs="Times New Roman"/>
          <w:i/>
          <w:iCs/>
          <w:color w:val="000000" w:themeColor="text1"/>
        </w:rPr>
        <w:t>, Supratik Roy</w:t>
      </w:r>
      <w:r w:rsidRPr="009F00D9">
        <w:rPr>
          <w:rFonts w:ascii="Times New Roman" w:hAnsi="Times New Roman" w:cs="Times New Roman"/>
          <w:i/>
          <w:iCs/>
          <w:color w:val="000000" w:themeColor="text1"/>
          <w:vertAlign w:val="superscript"/>
        </w:rPr>
        <w:t>1</w:t>
      </w:r>
      <w:r w:rsidRPr="009F00D9">
        <w:rPr>
          <w:rFonts w:ascii="Times New Roman" w:hAnsi="Times New Roman" w:cs="Times New Roman"/>
          <w:i/>
          <w:iCs/>
          <w:color w:val="000000" w:themeColor="text1"/>
        </w:rPr>
        <w:t xml:space="preserve">, Daniel R. </w:t>
      </w:r>
      <w:proofErr w:type="spellStart"/>
      <w:r w:rsidRPr="009F00D9">
        <w:rPr>
          <w:rFonts w:ascii="Times New Roman" w:hAnsi="Times New Roman" w:cs="Times New Roman"/>
          <w:i/>
          <w:iCs/>
          <w:color w:val="000000" w:themeColor="text1"/>
        </w:rPr>
        <w:t>Viete</w:t>
      </w:r>
      <w:proofErr w:type="spellEnd"/>
      <w:r w:rsidRPr="009F00D9">
        <w:rPr>
          <w:rFonts w:ascii="Times New Roman" w:hAnsi="Times New Roman" w:cs="Times New Roman"/>
          <w:color w:val="000000" w:themeColor="text1"/>
          <w:vertAlign w:val="superscript"/>
          <w:lang w:val="en-GB"/>
        </w:rPr>
        <w:t>1</w:t>
      </w:r>
    </w:p>
    <w:p w14:paraId="065F21EF" w14:textId="77777777" w:rsidR="006D1DBD" w:rsidRPr="009F00D9" w:rsidRDefault="006D1DBD" w:rsidP="006D1DBD">
      <w:pPr>
        <w:rPr>
          <w:rFonts w:ascii="Times New Roman" w:hAnsi="Times New Roman" w:cs="Times New Roman"/>
          <w:color w:val="000000" w:themeColor="text1"/>
        </w:rPr>
      </w:pPr>
    </w:p>
    <w:p w14:paraId="0AA591DD" w14:textId="77777777" w:rsidR="006D1DBD" w:rsidRPr="009F00D9" w:rsidRDefault="006D1DBD" w:rsidP="006D1DBD">
      <w:pPr>
        <w:rPr>
          <w:rFonts w:ascii="Times New Roman" w:hAnsi="Times New Roman" w:cs="Times New Roman"/>
          <w:color w:val="000000" w:themeColor="text1"/>
          <w:lang w:val="en-GB"/>
        </w:rPr>
      </w:pPr>
      <w:r w:rsidRPr="009F00D9">
        <w:rPr>
          <w:rFonts w:ascii="Times New Roman" w:hAnsi="Times New Roman" w:cs="Times New Roman"/>
          <w:color w:val="000000" w:themeColor="text1"/>
          <w:vertAlign w:val="superscript"/>
          <w:lang w:val="en-GB"/>
        </w:rPr>
        <w:t>1</w:t>
      </w:r>
      <w:r w:rsidRPr="009F00D9">
        <w:rPr>
          <w:rFonts w:ascii="Times New Roman" w:hAnsi="Times New Roman" w:cs="Times New Roman"/>
          <w:color w:val="000000" w:themeColor="text1"/>
          <w:lang w:val="en-GB"/>
        </w:rPr>
        <w:t>Department of Earth &amp; Planetary Sciences, Johns Hopkins University, 3400 N. Charles Street, Baltimore, MD 21218, USA</w:t>
      </w:r>
    </w:p>
    <w:p w14:paraId="0CD97C11" w14:textId="77777777" w:rsidR="006D1DBD" w:rsidRPr="009F00D9" w:rsidRDefault="006D1DBD" w:rsidP="006D1DBD">
      <w:pPr>
        <w:rPr>
          <w:rFonts w:ascii="Times New Roman" w:hAnsi="Times New Roman" w:cs="Times New Roman"/>
          <w:color w:val="000000" w:themeColor="text1"/>
          <w:lang w:val="en-GB"/>
        </w:rPr>
      </w:pPr>
      <w:r w:rsidRPr="009F00D9">
        <w:rPr>
          <w:rFonts w:ascii="Times New Roman" w:hAnsi="Times New Roman" w:cs="Times New Roman"/>
          <w:color w:val="000000" w:themeColor="text1"/>
          <w:vertAlign w:val="superscript"/>
          <w:lang w:val="en-GB"/>
        </w:rPr>
        <w:t>2</w:t>
      </w:r>
      <w:r w:rsidRPr="009F00D9">
        <w:rPr>
          <w:rFonts w:ascii="Times New Roman" w:hAnsi="Times New Roman" w:cs="Times New Roman"/>
          <w:color w:val="000000" w:themeColor="text1"/>
          <w:lang w:val="en-GB"/>
        </w:rPr>
        <w:t>School of Earth Sciences, University of Bristol, Wills Memorial Building, Bristol, BS8 1RJ, United Kingdom</w:t>
      </w:r>
      <w:r w:rsidRPr="009F00D9">
        <w:rPr>
          <w:rFonts w:ascii="Times New Roman" w:hAnsi="Times New Roman" w:cs="Times New Roman"/>
          <w:color w:val="000000" w:themeColor="text1"/>
          <w:vertAlign w:val="superscript"/>
          <w:lang w:val="en-GB"/>
        </w:rPr>
        <w:t xml:space="preserve"> </w:t>
      </w:r>
    </w:p>
    <w:p w14:paraId="0E79552C" w14:textId="77777777" w:rsidR="006D1DBD" w:rsidRPr="009F00D9" w:rsidRDefault="006D1DBD" w:rsidP="006D1DBD">
      <w:pPr>
        <w:rPr>
          <w:rFonts w:ascii="Times New Roman" w:hAnsi="Times New Roman" w:cs="Times New Roman"/>
          <w:color w:val="000000" w:themeColor="text1"/>
          <w:lang w:val="en-GB"/>
        </w:rPr>
      </w:pPr>
      <w:r w:rsidRPr="009F00D9">
        <w:rPr>
          <w:rFonts w:ascii="Times New Roman" w:hAnsi="Times New Roman" w:cs="Times New Roman"/>
          <w:color w:val="000000" w:themeColor="text1"/>
          <w:vertAlign w:val="superscript"/>
          <w:lang w:val="en-GB"/>
        </w:rPr>
        <w:t>3</w:t>
      </w:r>
      <w:r w:rsidRPr="009F00D9">
        <w:rPr>
          <w:rFonts w:ascii="Times New Roman" w:hAnsi="Times New Roman" w:cs="Times New Roman"/>
          <w:color w:val="000000" w:themeColor="text1"/>
          <w:lang w:val="en-GB"/>
        </w:rPr>
        <w:t>Department of Earth and Planetary Sciences, American Museum of Natural History, New York, NY 10024, USA</w:t>
      </w:r>
    </w:p>
    <w:p w14:paraId="5FC526EA" w14:textId="77777777" w:rsidR="006D1DBD" w:rsidRPr="009F00D9" w:rsidRDefault="006D1DBD" w:rsidP="006D1DBD">
      <w:pPr>
        <w:rPr>
          <w:rFonts w:ascii="Times New Roman" w:hAnsi="Times New Roman" w:cs="Times New Roman"/>
          <w:color w:val="000000" w:themeColor="text1"/>
          <w:lang w:val="en-GB"/>
        </w:rPr>
      </w:pPr>
      <w:r w:rsidRPr="009F00D9">
        <w:rPr>
          <w:rFonts w:ascii="Times New Roman" w:hAnsi="Times New Roman" w:cs="Times New Roman"/>
          <w:color w:val="000000" w:themeColor="text1"/>
          <w:vertAlign w:val="superscript"/>
          <w:lang w:val="en-GB"/>
        </w:rPr>
        <w:t>4</w:t>
      </w:r>
      <w:r w:rsidRPr="009F00D9">
        <w:rPr>
          <w:rFonts w:ascii="Times New Roman" w:hAnsi="Times New Roman" w:cs="Times New Roman"/>
          <w:color w:val="000000" w:themeColor="text1"/>
          <w:lang w:val="en-GB"/>
        </w:rPr>
        <w:t>Department of Geosciences, Boise State University,</w:t>
      </w:r>
      <w:r w:rsidRPr="009F00D9">
        <w:rPr>
          <w:rFonts w:ascii="Times New Roman" w:hAnsi="Times New Roman" w:cs="Times New Roman"/>
          <w:color w:val="000000" w:themeColor="text1"/>
        </w:rPr>
        <w:t xml:space="preserve"> </w:t>
      </w:r>
      <w:r w:rsidRPr="009F00D9">
        <w:rPr>
          <w:rFonts w:ascii="Times New Roman" w:hAnsi="Times New Roman" w:cs="Times New Roman"/>
          <w:color w:val="000000" w:themeColor="text1"/>
          <w:lang w:val="en-GB"/>
        </w:rPr>
        <w:t>1910 W University Dr, Boise, ID 83725, USA</w:t>
      </w:r>
    </w:p>
    <w:p w14:paraId="2972C61C" w14:textId="77777777" w:rsidR="006D1DBD" w:rsidRPr="009F00D9" w:rsidRDefault="006D1DBD" w:rsidP="006D1DBD">
      <w:pPr>
        <w:rPr>
          <w:rFonts w:ascii="Times New Roman" w:eastAsia="Times New Roman" w:hAnsi="Times New Roman" w:cs="Times New Roman"/>
        </w:rPr>
      </w:pPr>
      <w:r w:rsidRPr="009F00D9">
        <w:rPr>
          <w:rFonts w:ascii="Times New Roman" w:hAnsi="Times New Roman" w:cs="Times New Roman"/>
          <w:color w:val="000000" w:themeColor="text1"/>
          <w:vertAlign w:val="superscript"/>
          <w:lang w:val="en-GB"/>
        </w:rPr>
        <w:t>5</w:t>
      </w:r>
      <w:r w:rsidRPr="009F00D9">
        <w:rPr>
          <w:rFonts w:ascii="Times New Roman" w:eastAsia="Times New Roman" w:hAnsi="Times New Roman" w:cs="Times New Roman"/>
        </w:rPr>
        <w:t>Department of Physics, Astronomy and Geosciences, Towson University, 8000 York Road, Towson, MD 21252, USA</w:t>
      </w:r>
    </w:p>
    <w:p w14:paraId="3326F79D" w14:textId="77777777" w:rsidR="006D1DBD" w:rsidRPr="009F00D9" w:rsidRDefault="006D1DBD" w:rsidP="006D1DBD">
      <w:pPr>
        <w:rPr>
          <w:rFonts w:ascii="Times New Roman" w:hAnsi="Times New Roman" w:cs="Times New Roman"/>
          <w:color w:val="000000" w:themeColor="text1"/>
          <w:lang w:val="en-GB"/>
        </w:rPr>
      </w:pPr>
    </w:p>
    <w:p w14:paraId="78F61AE6" w14:textId="4DF79AA0" w:rsidR="006D1DBD" w:rsidRPr="009F00D9" w:rsidRDefault="006D1DBD" w:rsidP="006D1DBD">
      <w:pPr>
        <w:rPr>
          <w:rStyle w:val="Hyperlink"/>
          <w:rFonts w:ascii="Times New Roman" w:hAnsi="Times New Roman" w:cs="Times New Roman"/>
          <w:color w:val="000000" w:themeColor="text1"/>
        </w:rPr>
      </w:pPr>
      <w:r w:rsidRPr="009F00D9">
        <w:rPr>
          <w:rFonts w:ascii="Times New Roman" w:hAnsi="Times New Roman" w:cs="Times New Roman"/>
          <w:color w:val="000000" w:themeColor="text1"/>
        </w:rPr>
        <w:t xml:space="preserve">*Corresponding author: </w:t>
      </w:r>
      <w:r w:rsidR="009F00D9" w:rsidRPr="009F00D9">
        <w:rPr>
          <w:rFonts w:ascii="Times New Roman" w:hAnsi="Times New Roman" w:cs="Times New Roman"/>
        </w:rPr>
        <w:t>nbecker@jhu.edu</w:t>
      </w:r>
      <w:r w:rsidR="009F00D9">
        <w:rPr>
          <w:rFonts w:ascii="Times New Roman" w:hAnsi="Times New Roman" w:cs="Times New Roman"/>
        </w:rPr>
        <w:t>, naomiannbecker@gmail.com</w:t>
      </w:r>
    </w:p>
    <w:p w14:paraId="1472D3BB" w14:textId="77777777" w:rsidR="006D1DBD" w:rsidRPr="009F00D9" w:rsidRDefault="006D1DBD" w:rsidP="006D1DBD">
      <w:pPr>
        <w:pStyle w:val="Heading1"/>
        <w:spacing w:line="480" w:lineRule="auto"/>
        <w:rPr>
          <w:rFonts w:ascii="Times New Roman" w:hAnsi="Times New Roman" w:cs="Times New Roman"/>
          <w:sz w:val="24"/>
          <w:szCs w:val="24"/>
        </w:rPr>
      </w:pPr>
    </w:p>
    <w:p w14:paraId="14316F40" w14:textId="77777777" w:rsidR="006D1DBD" w:rsidRPr="009F00D9" w:rsidRDefault="006D1DBD" w:rsidP="006D1DBD">
      <w:pPr>
        <w:pStyle w:val="Heading1"/>
        <w:spacing w:line="480" w:lineRule="auto"/>
        <w:rPr>
          <w:rFonts w:ascii="Times New Roman" w:hAnsi="Times New Roman" w:cs="Times New Roman"/>
          <w:sz w:val="24"/>
          <w:szCs w:val="24"/>
        </w:rPr>
      </w:pPr>
      <w:r w:rsidRPr="009F00D9">
        <w:rPr>
          <w:rFonts w:ascii="Times New Roman" w:hAnsi="Times New Roman" w:cs="Times New Roman"/>
          <w:sz w:val="24"/>
          <w:szCs w:val="24"/>
        </w:rPr>
        <w:t>1. ANALYTICAL METHODS</w:t>
      </w:r>
    </w:p>
    <w:p w14:paraId="6A93AAAA" w14:textId="3AC5CBF8" w:rsidR="006D1DBD" w:rsidRPr="009F00D9" w:rsidRDefault="006D1DBD" w:rsidP="002B67EE">
      <w:pPr>
        <w:pStyle w:val="Heading2"/>
        <w:spacing w:after="240"/>
      </w:pPr>
      <w:r w:rsidRPr="009F00D9">
        <w:t>1.1.</w:t>
      </w:r>
      <w:r w:rsidR="002B67EE">
        <w:t xml:space="preserve"> </w:t>
      </w:r>
      <w:r w:rsidRPr="009F00D9">
        <w:t xml:space="preserve">Mineral Separation </w:t>
      </w:r>
      <w:r w:rsidR="002B67EE">
        <w:t>P</w:t>
      </w:r>
      <w:r w:rsidRPr="009F00D9">
        <w:t>rocedures</w:t>
      </w:r>
    </w:p>
    <w:p w14:paraId="3E072DCD" w14:textId="77777777" w:rsidR="006D1DBD" w:rsidRPr="009F00D9" w:rsidRDefault="006D1DBD" w:rsidP="006D1DBD">
      <w:pPr>
        <w:spacing w:line="480" w:lineRule="auto"/>
        <w:ind w:firstLine="720"/>
        <w:jc w:val="both"/>
        <w:rPr>
          <w:rFonts w:ascii="Times New Roman" w:hAnsi="Times New Roman" w:cs="Times New Roman"/>
        </w:rPr>
      </w:pPr>
      <w:r w:rsidRPr="009F00D9">
        <w:rPr>
          <w:rFonts w:ascii="Times New Roman" w:hAnsi="Times New Roman" w:cs="Times New Roman"/>
        </w:rPr>
        <w:t xml:space="preserve">Samples selected for zircon U-Pb analysis were crushed using a stainless-steel ring-and-puck mill in a FRITSCH </w:t>
      </w:r>
      <w:proofErr w:type="spellStart"/>
      <w:r w:rsidRPr="009F00D9">
        <w:rPr>
          <w:rFonts w:ascii="Times New Roman" w:hAnsi="Times New Roman" w:cs="Times New Roman"/>
        </w:rPr>
        <w:t>Pulverisette</w:t>
      </w:r>
      <w:proofErr w:type="spellEnd"/>
      <w:r w:rsidRPr="009F00D9">
        <w:rPr>
          <w:rFonts w:ascii="Times New Roman" w:hAnsi="Times New Roman" w:cs="Times New Roman"/>
        </w:rPr>
        <w:t xml:space="preserve"> 9. Crushing was done in 5 second intervals at 600 rpm and samples were sieved to &lt; 250 µm.  Crushed samples were washed using soap and water and decanted to clean of clay particulates, then placed in a ~60 °C drying oven until completely dry. Dry samples were then subjected to magnetic separation using Frantz magnetic separator angled at 7</w:t>
      </w:r>
      <w:r w:rsidRPr="009F00D9">
        <w:rPr>
          <w:rFonts w:ascii="Times New Roman" w:hAnsi="Times New Roman" w:cs="Times New Roman"/>
        </w:rPr>
        <w:sym w:font="Symbol" w:char="F0B0"/>
      </w:r>
      <w:r w:rsidRPr="009F00D9">
        <w:rPr>
          <w:rFonts w:ascii="Times New Roman" w:hAnsi="Times New Roman" w:cs="Times New Roman"/>
        </w:rPr>
        <w:t xml:space="preserve"> and 15</w:t>
      </w:r>
      <w:r w:rsidRPr="009F00D9">
        <w:rPr>
          <w:rFonts w:ascii="Times New Roman" w:hAnsi="Times New Roman" w:cs="Times New Roman"/>
        </w:rPr>
        <w:sym w:font="Symbol" w:char="F0B0"/>
      </w:r>
      <w:r w:rsidRPr="009F00D9">
        <w:rPr>
          <w:rFonts w:ascii="Times New Roman" w:hAnsi="Times New Roman" w:cs="Times New Roman"/>
        </w:rPr>
        <w:t xml:space="preserve">, incrementally increasing the voltage until 1.4 A was reached. </w:t>
      </w:r>
    </w:p>
    <w:p w14:paraId="3474D67C" w14:textId="77777777" w:rsidR="006D1DBD" w:rsidRPr="009F00D9" w:rsidRDefault="006D1DBD" w:rsidP="006D1DBD">
      <w:pPr>
        <w:spacing w:line="480" w:lineRule="auto"/>
        <w:ind w:firstLine="720"/>
        <w:jc w:val="both"/>
        <w:rPr>
          <w:rFonts w:ascii="Times New Roman" w:hAnsi="Times New Roman" w:cs="Times New Roman"/>
        </w:rPr>
      </w:pPr>
      <w:r w:rsidRPr="009F00D9">
        <w:rPr>
          <w:rFonts w:ascii="Times New Roman" w:hAnsi="Times New Roman" w:cs="Times New Roman"/>
        </w:rPr>
        <w:t xml:space="preserve">The non-magnetic fraction at 1.4 A was then separated using sodium </w:t>
      </w:r>
      <w:proofErr w:type="spellStart"/>
      <w:r w:rsidRPr="009F00D9">
        <w:rPr>
          <w:rFonts w:ascii="Times New Roman" w:hAnsi="Times New Roman" w:cs="Times New Roman"/>
        </w:rPr>
        <w:t>polytungstate</w:t>
      </w:r>
      <w:proofErr w:type="spellEnd"/>
      <w:r w:rsidRPr="009F00D9">
        <w:rPr>
          <w:rFonts w:ascii="Times New Roman" w:hAnsi="Times New Roman" w:cs="Times New Roman"/>
        </w:rPr>
        <w:t xml:space="preserve"> (SPT) heavy liquid separation following the method of </w:t>
      </w:r>
      <w:proofErr w:type="spellStart"/>
      <w:r w:rsidRPr="009F00D9">
        <w:rPr>
          <w:rFonts w:ascii="Times New Roman" w:hAnsi="Times New Roman" w:cs="Times New Roman"/>
        </w:rPr>
        <w:t>Andò</w:t>
      </w:r>
      <w:proofErr w:type="spellEnd"/>
      <w:r w:rsidRPr="009F00D9">
        <w:rPr>
          <w:rFonts w:ascii="Times New Roman" w:hAnsi="Times New Roman" w:cs="Times New Roman"/>
        </w:rPr>
        <w:t xml:space="preserve"> (2020). Approximately 15 grams of sample material and 40 mL of SPT (density &gt;2.95 g/cm</w:t>
      </w:r>
      <w:r w:rsidRPr="009F00D9">
        <w:rPr>
          <w:rFonts w:ascii="Times New Roman" w:hAnsi="Times New Roman" w:cs="Times New Roman"/>
          <w:vertAlign w:val="superscript"/>
        </w:rPr>
        <w:t>3</w:t>
      </w:r>
      <w:r w:rsidRPr="009F00D9">
        <w:rPr>
          <w:rFonts w:ascii="Times New Roman" w:hAnsi="Times New Roman" w:cs="Times New Roman"/>
        </w:rPr>
        <w:t xml:space="preserve">) were placed into 50 mL falcon tubes and agitated by hand before placed in an ultrasonic bath for 5 minutes to ensure wetting of all grains. Samples </w:t>
      </w:r>
      <w:r w:rsidRPr="009F00D9">
        <w:rPr>
          <w:rFonts w:ascii="Times New Roman" w:hAnsi="Times New Roman" w:cs="Times New Roman"/>
        </w:rPr>
        <w:lastRenderedPageBreak/>
        <w:t xml:space="preserve">were then agitated by hand and centrifuged for 6 minutes at 300 rpm. The agitating and centrifuging step was repeated in triplicate and tubes were set aside to allow grains to settle. Once settled, the floating grains were removed by flash-freezing the bottom of the tube with an ethanol-dry ice bath (T &lt; -70 </w:t>
      </w:r>
      <w:r w:rsidRPr="009F00D9">
        <w:rPr>
          <w:rFonts w:ascii="Times New Roman" w:hAnsi="Times New Roman" w:cs="Times New Roman"/>
        </w:rPr>
        <w:sym w:font="Symbol" w:char="F0B0"/>
      </w:r>
      <w:r w:rsidRPr="009F00D9">
        <w:rPr>
          <w:rFonts w:ascii="Times New Roman" w:hAnsi="Times New Roman" w:cs="Times New Roman"/>
        </w:rPr>
        <w:t xml:space="preserve"> C) until the SPT mixture solidified and decanting the remaining sample into a Büchner funnel consisting of two layers of filters sitting atop a vacuum flask attached to a </w:t>
      </w:r>
      <w:proofErr w:type="spellStart"/>
      <w:r w:rsidRPr="009F00D9">
        <w:rPr>
          <w:rFonts w:ascii="Times New Roman" w:hAnsi="Times New Roman" w:cs="Times New Roman"/>
        </w:rPr>
        <w:t>WaterSaver</w:t>
      </w:r>
      <w:proofErr w:type="spellEnd"/>
      <w:r w:rsidRPr="009F00D9">
        <w:rPr>
          <w:rFonts w:ascii="Times New Roman" w:hAnsi="Times New Roman" w:cs="Times New Roman"/>
        </w:rPr>
        <w:t xml:space="preserve"> faucet aspirator. The tube was rinsed in triplicate to remove all floating grains and the frozen portion allowed to thaw. Once fully thawed, the remaining sample was poured into a second Büchner funnel setup and rinsed in triplicate to remove all grains. </w:t>
      </w:r>
    </w:p>
    <w:p w14:paraId="015511B1" w14:textId="77777777" w:rsidR="006D1DBD" w:rsidRPr="009F00D9" w:rsidRDefault="006D1DBD" w:rsidP="006D1DBD">
      <w:pPr>
        <w:spacing w:line="480" w:lineRule="auto"/>
        <w:ind w:firstLine="720"/>
        <w:jc w:val="both"/>
        <w:rPr>
          <w:rFonts w:ascii="Times New Roman" w:hAnsi="Times New Roman" w:cs="Times New Roman"/>
        </w:rPr>
      </w:pPr>
      <w:r w:rsidRPr="009F00D9">
        <w:rPr>
          <w:rFonts w:ascii="Times New Roman" w:hAnsi="Times New Roman" w:cs="Times New Roman"/>
        </w:rPr>
        <w:t xml:space="preserve">Heavy mineral separates were then inspected using a Leica EZ4W petrographic microscope and zircons were picked by hand. Selected zircons were placed on double sided tape and a clear PVC ring of outer inch diameter was placed around the grains. Epoxy resin was poured into the ring and allowed to cure for &gt;24 hours.  Epoxy mounts were polished to expose cores of zircon grains using 12 µm, 9 µm, 5 µm and 3 µm grit and washed in an ultrasonic bath between each grit. Alumina polishing paste of 0.1 µm grit was used to finalize polish for LA-ICP-MS analysis. </w:t>
      </w:r>
    </w:p>
    <w:p w14:paraId="37946115" w14:textId="77777777" w:rsidR="006D1DBD" w:rsidRPr="009F00D9" w:rsidRDefault="006D1DBD" w:rsidP="006D1DBD">
      <w:pPr>
        <w:pStyle w:val="Heading2"/>
        <w:spacing w:line="480" w:lineRule="auto"/>
        <w:rPr>
          <w:rFonts w:ascii="Times New Roman" w:hAnsi="Times New Roman" w:cs="Times New Roman"/>
          <w:sz w:val="24"/>
          <w:szCs w:val="24"/>
        </w:rPr>
      </w:pPr>
      <w:r w:rsidRPr="009F00D9">
        <w:rPr>
          <w:rFonts w:ascii="Times New Roman" w:hAnsi="Times New Roman" w:cs="Times New Roman"/>
          <w:sz w:val="24"/>
          <w:szCs w:val="24"/>
        </w:rPr>
        <w:t>1.1.2. U-Pb Geochronology CA-TIMS</w:t>
      </w:r>
    </w:p>
    <w:p w14:paraId="525D3BCB" w14:textId="77777777" w:rsidR="006D1DBD" w:rsidRPr="009F00D9" w:rsidRDefault="006D1DBD" w:rsidP="006D1DBD">
      <w:pPr>
        <w:spacing w:line="480" w:lineRule="auto"/>
        <w:ind w:firstLine="720"/>
        <w:jc w:val="both"/>
        <w:rPr>
          <w:rFonts w:ascii="Times New Roman" w:hAnsi="Times New Roman" w:cs="Times New Roman"/>
        </w:rPr>
      </w:pPr>
      <w:r w:rsidRPr="009F00D9">
        <w:rPr>
          <w:rFonts w:ascii="Times New Roman" w:hAnsi="Times New Roman" w:cs="Times New Roman"/>
        </w:rPr>
        <w:t xml:space="preserve">U-Pb dates were obtained by the chemical abrasion isotope dilution thermal ionization mass spectrometry (CA-TIMS) method from analyses composed of single zircon grains (Appendix B), modified after Mattinson (2005). Zircon was removed from the epoxy mounts for dating based on CL images and LA-ICPMS data, and then annealed in a muffle furnace at 900 °C for 60 hours in quartz beakers.  </w:t>
      </w:r>
    </w:p>
    <w:p w14:paraId="5DCBC5E4" w14:textId="77777777" w:rsidR="006D1DBD" w:rsidRPr="009F00D9" w:rsidRDefault="006D1DBD" w:rsidP="006D1DBD">
      <w:pPr>
        <w:pStyle w:val="BodyText"/>
        <w:spacing w:after="0" w:line="480" w:lineRule="auto"/>
        <w:ind w:firstLine="720"/>
        <w:jc w:val="both"/>
        <w:rPr>
          <w:lang w:val="en-US"/>
        </w:rPr>
      </w:pPr>
      <w:r w:rsidRPr="009F00D9">
        <w:rPr>
          <w:lang w:val="en-US"/>
        </w:rPr>
        <w:t xml:space="preserve">Zircon was put into 3 ml Teflon PFA beakers and loaded into 300 µl Teflon PFA microcapsules. Fifteen microcapsules were placed in a large-capacity Parr vessel and the zircon partially dissolved in 120 µl of 29 M HF for 12 hours at 190 °C. Zircon was returned to 3 ml Teflon </w:t>
      </w:r>
      <w:r w:rsidRPr="009F00D9">
        <w:rPr>
          <w:lang w:val="en-US"/>
        </w:rPr>
        <w:lastRenderedPageBreak/>
        <w:t>PFA beakers, HF was removed, and zircon was immersed in 3.5 M HNO</w:t>
      </w:r>
      <w:r w:rsidRPr="009F00D9">
        <w:rPr>
          <w:vertAlign w:val="subscript"/>
          <w:lang w:val="en-US"/>
        </w:rPr>
        <w:t>3</w:t>
      </w:r>
      <w:r w:rsidRPr="009F00D9">
        <w:rPr>
          <w:lang w:val="en-US"/>
        </w:rPr>
        <w:t>, ultrasonically cleaned for an hour, and fluxed on a hotplate at 80°C for an hour. The HNO</w:t>
      </w:r>
      <w:r w:rsidRPr="009F00D9">
        <w:rPr>
          <w:vertAlign w:val="subscript"/>
          <w:lang w:val="en-US"/>
        </w:rPr>
        <w:t>3</w:t>
      </w:r>
      <w:r w:rsidRPr="009F00D9">
        <w:rPr>
          <w:lang w:val="en-US"/>
        </w:rPr>
        <w:t xml:space="preserve"> was removed, and zircon was rinsed twice in ultrapure H</w:t>
      </w:r>
      <w:r w:rsidRPr="009F00D9">
        <w:rPr>
          <w:vertAlign w:val="subscript"/>
          <w:lang w:val="en-US"/>
        </w:rPr>
        <w:t>2</w:t>
      </w:r>
      <w:r w:rsidRPr="009F00D9">
        <w:rPr>
          <w:lang w:val="en-US"/>
        </w:rPr>
        <w:t xml:space="preserve">O before being reloaded into the 300 µl Teflon PFA microcapsules (rinsed and fluxed in 6 M HCl during sonication and washing of the zircon) and spiked with the Boise State University mixed </w:t>
      </w:r>
      <w:r w:rsidRPr="009F00D9">
        <w:rPr>
          <w:vertAlign w:val="superscript"/>
          <w:lang w:val="en-US"/>
        </w:rPr>
        <w:t>233</w:t>
      </w:r>
      <w:r w:rsidRPr="009F00D9">
        <w:rPr>
          <w:lang w:val="en-US"/>
        </w:rPr>
        <w:t>U-</w:t>
      </w:r>
      <w:r w:rsidRPr="009F00D9">
        <w:rPr>
          <w:vertAlign w:val="superscript"/>
          <w:lang w:val="en-US"/>
        </w:rPr>
        <w:t>235</w:t>
      </w:r>
      <w:r w:rsidRPr="009F00D9">
        <w:rPr>
          <w:lang w:val="en-US"/>
        </w:rPr>
        <w:t>U-</w:t>
      </w:r>
      <w:r w:rsidRPr="009F00D9">
        <w:rPr>
          <w:vertAlign w:val="superscript"/>
          <w:lang w:val="en-US"/>
        </w:rPr>
        <w:t>205</w:t>
      </w:r>
      <w:r w:rsidRPr="009F00D9">
        <w:rPr>
          <w:lang w:val="en-US"/>
        </w:rPr>
        <w:t>Pb tracer solution (BSU-1B). Zircon was dissolved in Parr vessels in 120 µl of 29 M HF with a trace of 3.5 M HNO</w:t>
      </w:r>
      <w:r w:rsidRPr="009F00D9">
        <w:rPr>
          <w:vertAlign w:val="subscript"/>
          <w:lang w:val="en-US"/>
        </w:rPr>
        <w:t>3</w:t>
      </w:r>
      <w:r w:rsidRPr="009F00D9">
        <w:rPr>
          <w:lang w:val="en-US"/>
        </w:rPr>
        <w:t xml:space="preserve"> at 220 °C for 48 hours, dried to fluorides, and re-dissolved in 6 M HCl at 180 °C overnight. U and Pb were separated from the zircon matrix using an HCl-based anion-exchange chromatographic procedure (Krogh, 1973), eluted together and dried with 2 µl of 0.05 N H</w:t>
      </w:r>
      <w:r w:rsidRPr="009F00D9">
        <w:rPr>
          <w:vertAlign w:val="subscript"/>
          <w:lang w:val="en-US"/>
        </w:rPr>
        <w:t>3</w:t>
      </w:r>
      <w:r w:rsidRPr="009F00D9">
        <w:rPr>
          <w:lang w:val="en-US"/>
        </w:rPr>
        <w:t>PO</w:t>
      </w:r>
      <w:r w:rsidRPr="009F00D9">
        <w:rPr>
          <w:vertAlign w:val="subscript"/>
          <w:lang w:val="en-US"/>
        </w:rPr>
        <w:t>4</w:t>
      </w:r>
      <w:r w:rsidRPr="009F00D9">
        <w:rPr>
          <w:lang w:val="en-US"/>
        </w:rPr>
        <w:t>.</w:t>
      </w:r>
    </w:p>
    <w:p w14:paraId="6D73B24A" w14:textId="77777777" w:rsidR="006D1DBD" w:rsidRPr="009F00D9" w:rsidRDefault="006D1DBD" w:rsidP="006D1DBD">
      <w:pPr>
        <w:pStyle w:val="BodyText"/>
        <w:spacing w:after="0" w:line="480" w:lineRule="auto"/>
        <w:ind w:firstLine="720"/>
        <w:jc w:val="both"/>
        <w:rPr>
          <w:lang w:val="en-US"/>
        </w:rPr>
      </w:pPr>
      <w:r w:rsidRPr="009F00D9">
        <w:rPr>
          <w:lang w:val="en-US"/>
        </w:rPr>
        <w:t xml:space="preserve">Pb and U were loaded on a single outgassed Re filament in 5 µl of a silica-gel/phosphoric acid mixture (Gerstenberger and Haase, 1997), and U and Pb isotopic measurements made on a GV </w:t>
      </w:r>
      <w:proofErr w:type="spellStart"/>
      <w:r w:rsidRPr="009F00D9">
        <w:rPr>
          <w:lang w:val="en-US"/>
        </w:rPr>
        <w:t>Isoprobe</w:t>
      </w:r>
      <w:proofErr w:type="spellEnd"/>
      <w:r w:rsidRPr="009F00D9">
        <w:rPr>
          <w:lang w:val="en-US"/>
        </w:rPr>
        <w:t xml:space="preserve">-T </w:t>
      </w:r>
      <w:proofErr w:type="spellStart"/>
      <w:r w:rsidRPr="009F00D9">
        <w:rPr>
          <w:lang w:val="en-US"/>
        </w:rPr>
        <w:t>multicollector</w:t>
      </w:r>
      <w:proofErr w:type="spellEnd"/>
      <w:r w:rsidRPr="009F00D9">
        <w:rPr>
          <w:lang w:val="en-US"/>
        </w:rPr>
        <w:t xml:space="preserve"> thermal ionization mass spectrometer equipped with an ion-counting Daly detector. Pb isotopes were measured by peak-jumping all isotopes on the Daly detector for 160 cycles and corrected for 0.16 ± 0.03%/</w:t>
      </w:r>
      <w:proofErr w:type="spellStart"/>
      <w:r w:rsidRPr="009F00D9">
        <w:rPr>
          <w:lang w:val="en-US"/>
        </w:rPr>
        <w:t>a.m.u.</w:t>
      </w:r>
      <w:proofErr w:type="spellEnd"/>
      <w:r w:rsidRPr="009F00D9">
        <w:rPr>
          <w:lang w:val="en-US"/>
        </w:rPr>
        <w:t xml:space="preserve"> (1</w:t>
      </w:r>
      <w:r w:rsidRPr="009F00D9">
        <w:t>σ</w:t>
      </w:r>
      <w:r w:rsidRPr="009F00D9">
        <w:rPr>
          <w:lang w:val="en-US"/>
        </w:rPr>
        <w:t xml:space="preserve">) mass fractionation. Transitory isobaric interferences due to high-molecular weight organics, particularly on </w:t>
      </w:r>
      <w:r w:rsidRPr="009F00D9">
        <w:rPr>
          <w:vertAlign w:val="superscript"/>
          <w:lang w:val="en-US"/>
        </w:rPr>
        <w:t>204</w:t>
      </w:r>
      <w:r w:rsidRPr="009F00D9">
        <w:rPr>
          <w:lang w:val="en-US"/>
        </w:rPr>
        <w:t xml:space="preserve">Pb and </w:t>
      </w:r>
      <w:r w:rsidRPr="009F00D9">
        <w:rPr>
          <w:vertAlign w:val="superscript"/>
          <w:lang w:val="en-US"/>
        </w:rPr>
        <w:t>207</w:t>
      </w:r>
      <w:r w:rsidRPr="009F00D9">
        <w:rPr>
          <w:lang w:val="en-US"/>
        </w:rPr>
        <w:t>Pb, disappeared within approximately 60 cycles, while ionization efficiency averaged 10</w:t>
      </w:r>
      <w:r w:rsidRPr="009F00D9">
        <w:rPr>
          <w:vertAlign w:val="superscript"/>
          <w:lang w:val="en-US"/>
        </w:rPr>
        <w:t>4</w:t>
      </w:r>
      <w:r w:rsidRPr="009F00D9">
        <w:rPr>
          <w:lang w:val="en-US"/>
        </w:rPr>
        <w:t xml:space="preserve"> cps/</w:t>
      </w:r>
      <w:proofErr w:type="spellStart"/>
      <w:r w:rsidRPr="009F00D9">
        <w:rPr>
          <w:lang w:val="en-US"/>
        </w:rPr>
        <w:t>pg</w:t>
      </w:r>
      <w:proofErr w:type="spellEnd"/>
      <w:r w:rsidRPr="009F00D9">
        <w:rPr>
          <w:lang w:val="en-US"/>
        </w:rPr>
        <w:t xml:space="preserve"> of each Pb isotope. Linearity (to ≥1.4 x 10</w:t>
      </w:r>
      <w:r w:rsidRPr="009F00D9">
        <w:rPr>
          <w:vertAlign w:val="superscript"/>
          <w:lang w:val="en-US"/>
        </w:rPr>
        <w:t>6</w:t>
      </w:r>
      <w:r w:rsidRPr="009F00D9">
        <w:rPr>
          <w:lang w:val="en-US"/>
        </w:rPr>
        <w:t xml:space="preserve"> </w:t>
      </w:r>
      <w:proofErr w:type="spellStart"/>
      <w:r w:rsidRPr="009F00D9">
        <w:rPr>
          <w:lang w:val="en-US"/>
        </w:rPr>
        <w:t>cps</w:t>
      </w:r>
      <w:proofErr w:type="spellEnd"/>
      <w:r w:rsidRPr="009F00D9">
        <w:rPr>
          <w:lang w:val="en-US"/>
        </w:rPr>
        <w:t>) and the associated deadtime correction of the Daly detector were determined by analysis of NBS982. Uranium was analyzed as UO</w:t>
      </w:r>
      <w:r w:rsidRPr="009F00D9">
        <w:rPr>
          <w:vertAlign w:val="subscript"/>
          <w:lang w:val="en-US"/>
        </w:rPr>
        <w:t>2</w:t>
      </w:r>
      <w:r w:rsidRPr="009F00D9">
        <w:rPr>
          <w:vertAlign w:val="superscript"/>
          <w:lang w:val="en-US"/>
        </w:rPr>
        <w:t>+</w:t>
      </w:r>
      <w:r w:rsidRPr="009F00D9">
        <w:rPr>
          <w:lang w:val="en-US"/>
        </w:rPr>
        <w:t xml:space="preserve"> ions in static Faraday mode on </w:t>
      </w:r>
      <w:proofErr w:type="gramStart"/>
      <w:r w:rsidRPr="009F00D9">
        <w:rPr>
          <w:lang w:val="en-US"/>
        </w:rPr>
        <w:t>10</w:t>
      </w:r>
      <w:r w:rsidRPr="009F00D9">
        <w:rPr>
          <w:vertAlign w:val="superscript"/>
          <w:lang w:val="en-US"/>
        </w:rPr>
        <w:t>12</w:t>
      </w:r>
      <w:r w:rsidRPr="009F00D9">
        <w:rPr>
          <w:lang w:val="en-US"/>
        </w:rPr>
        <w:t xml:space="preserve"> ohm</w:t>
      </w:r>
      <w:proofErr w:type="gramEnd"/>
      <w:r w:rsidRPr="009F00D9">
        <w:rPr>
          <w:lang w:val="en-US"/>
        </w:rPr>
        <w:t xml:space="preserve"> resistors for 300 cycles, and corrected for isobaric interference of </w:t>
      </w:r>
      <w:r w:rsidRPr="009F00D9">
        <w:rPr>
          <w:vertAlign w:val="superscript"/>
          <w:lang w:val="en-US"/>
        </w:rPr>
        <w:t>233</w:t>
      </w:r>
      <w:r w:rsidRPr="009F00D9">
        <w:rPr>
          <w:lang w:val="en-US"/>
        </w:rPr>
        <w:t>U</w:t>
      </w:r>
      <w:r w:rsidRPr="009F00D9">
        <w:rPr>
          <w:vertAlign w:val="superscript"/>
          <w:lang w:val="en-US"/>
        </w:rPr>
        <w:t>18</w:t>
      </w:r>
      <w:r w:rsidRPr="009F00D9">
        <w:rPr>
          <w:lang w:val="en-US"/>
        </w:rPr>
        <w:t>O</w:t>
      </w:r>
      <w:r w:rsidRPr="009F00D9">
        <w:rPr>
          <w:vertAlign w:val="superscript"/>
          <w:lang w:val="en-US"/>
        </w:rPr>
        <w:t>16</w:t>
      </w:r>
      <w:r w:rsidRPr="009F00D9">
        <w:rPr>
          <w:lang w:val="en-US"/>
        </w:rPr>
        <w:t xml:space="preserve">O on </w:t>
      </w:r>
      <w:r w:rsidRPr="009F00D9">
        <w:rPr>
          <w:vertAlign w:val="superscript"/>
          <w:lang w:val="en-US"/>
        </w:rPr>
        <w:t>235</w:t>
      </w:r>
      <w:r w:rsidRPr="009F00D9">
        <w:rPr>
          <w:lang w:val="en-US"/>
        </w:rPr>
        <w:t>U</w:t>
      </w:r>
      <w:r w:rsidRPr="009F00D9">
        <w:rPr>
          <w:vertAlign w:val="superscript"/>
          <w:lang w:val="en-US"/>
        </w:rPr>
        <w:t>16</w:t>
      </w:r>
      <w:r w:rsidRPr="009F00D9">
        <w:rPr>
          <w:lang w:val="en-US"/>
        </w:rPr>
        <w:t>O</w:t>
      </w:r>
      <w:r w:rsidRPr="009F00D9">
        <w:rPr>
          <w:vertAlign w:val="superscript"/>
          <w:lang w:val="en-US"/>
        </w:rPr>
        <w:t>16</w:t>
      </w:r>
      <w:r w:rsidRPr="009F00D9">
        <w:rPr>
          <w:lang w:val="en-US"/>
        </w:rPr>
        <w:t xml:space="preserve">O with an </w:t>
      </w:r>
      <w:r w:rsidRPr="009F00D9">
        <w:rPr>
          <w:vertAlign w:val="superscript"/>
          <w:lang w:val="en-US"/>
        </w:rPr>
        <w:t>18</w:t>
      </w:r>
      <w:r w:rsidRPr="009F00D9">
        <w:rPr>
          <w:lang w:val="en-US"/>
        </w:rPr>
        <w:t>O/</w:t>
      </w:r>
      <w:r w:rsidRPr="009F00D9">
        <w:rPr>
          <w:vertAlign w:val="superscript"/>
          <w:lang w:val="en-US"/>
        </w:rPr>
        <w:t>16</w:t>
      </w:r>
      <w:r w:rsidRPr="009F00D9">
        <w:rPr>
          <w:lang w:val="en-US"/>
        </w:rPr>
        <w:t xml:space="preserve">O of 0.00206. Ionization efficiency averaged 20 mV/ng of each U isotope. U mass fractionation was corrected using the known </w:t>
      </w:r>
      <w:r w:rsidRPr="009F00D9">
        <w:rPr>
          <w:vertAlign w:val="superscript"/>
          <w:lang w:val="en-US"/>
        </w:rPr>
        <w:t>233</w:t>
      </w:r>
      <w:r w:rsidRPr="009F00D9">
        <w:rPr>
          <w:lang w:val="en-US"/>
        </w:rPr>
        <w:t>U/</w:t>
      </w:r>
      <w:r w:rsidRPr="009F00D9">
        <w:rPr>
          <w:vertAlign w:val="superscript"/>
          <w:lang w:val="en-US"/>
        </w:rPr>
        <w:t>235</w:t>
      </w:r>
      <w:r w:rsidRPr="009F00D9">
        <w:rPr>
          <w:lang w:val="en-US"/>
        </w:rPr>
        <w:t xml:space="preserve">U ratio of the Boise State University </w:t>
      </w:r>
      <w:r w:rsidRPr="009F00D9">
        <w:t>tracer solution</w:t>
      </w:r>
      <w:r w:rsidRPr="009F00D9">
        <w:rPr>
          <w:lang w:val="en-US"/>
        </w:rPr>
        <w:t xml:space="preserve">. </w:t>
      </w:r>
    </w:p>
    <w:p w14:paraId="0A8BA165" w14:textId="77777777" w:rsidR="006D1DBD" w:rsidRPr="009F00D9" w:rsidRDefault="006D1DBD" w:rsidP="006D1DBD">
      <w:pPr>
        <w:pStyle w:val="BodyText"/>
        <w:spacing w:after="0" w:line="480" w:lineRule="auto"/>
        <w:ind w:firstLine="720"/>
        <w:jc w:val="both"/>
      </w:pPr>
      <w:r w:rsidRPr="009F00D9">
        <w:rPr>
          <w:lang w:val="en-US"/>
        </w:rPr>
        <w:lastRenderedPageBreak/>
        <w:t xml:space="preserve">U-Pb dates and uncertainties were calculated using the algorithms of Schmitz and Schoene (2007), calibration of </w:t>
      </w:r>
      <w:r w:rsidRPr="009F00D9">
        <w:t>BSU-1B tracer solution of</w:t>
      </w:r>
      <w:r w:rsidRPr="009F00D9">
        <w:rPr>
          <w:vertAlign w:val="superscript"/>
        </w:rPr>
        <w:t xml:space="preserve"> 235</w:t>
      </w:r>
      <w:r w:rsidRPr="009F00D9">
        <w:t>U/</w:t>
      </w:r>
      <w:r w:rsidRPr="009F00D9">
        <w:rPr>
          <w:vertAlign w:val="superscript"/>
        </w:rPr>
        <w:t>205</w:t>
      </w:r>
      <w:r w:rsidRPr="009F00D9">
        <w:t xml:space="preserve">Pb of 77.93 and </w:t>
      </w:r>
      <w:r w:rsidRPr="009F00D9">
        <w:rPr>
          <w:vertAlign w:val="superscript"/>
        </w:rPr>
        <w:t>233</w:t>
      </w:r>
      <w:r w:rsidRPr="009F00D9">
        <w:t>U/</w:t>
      </w:r>
      <w:r w:rsidRPr="009F00D9">
        <w:rPr>
          <w:vertAlign w:val="superscript"/>
        </w:rPr>
        <w:t>235</w:t>
      </w:r>
      <w:r w:rsidRPr="009F00D9">
        <w:t>U of 1.007066 for</w:t>
      </w:r>
      <w:r w:rsidRPr="009F00D9">
        <w:rPr>
          <w:lang w:val="en-US"/>
        </w:rPr>
        <w:t xml:space="preserve">, U decay constants recommended by </w:t>
      </w:r>
      <w:proofErr w:type="spellStart"/>
      <w:r w:rsidRPr="009F00D9">
        <w:rPr>
          <w:lang w:val="en-US"/>
        </w:rPr>
        <w:t>Jaffey</w:t>
      </w:r>
      <w:proofErr w:type="spellEnd"/>
      <w:r w:rsidRPr="009F00D9">
        <w:rPr>
          <w:lang w:val="en-US"/>
        </w:rPr>
        <w:t xml:space="preserve"> et al. (1971), and </w:t>
      </w:r>
      <w:r w:rsidRPr="009F00D9">
        <w:rPr>
          <w:vertAlign w:val="superscript"/>
          <w:lang w:val="en-US"/>
        </w:rPr>
        <w:t>238</w:t>
      </w:r>
      <w:r w:rsidRPr="009F00D9">
        <w:rPr>
          <w:lang w:val="en-US"/>
        </w:rPr>
        <w:t>U/</w:t>
      </w:r>
      <w:r w:rsidRPr="009F00D9">
        <w:rPr>
          <w:vertAlign w:val="superscript"/>
          <w:lang w:val="en-US"/>
        </w:rPr>
        <w:t>235</w:t>
      </w:r>
      <w:r w:rsidRPr="009F00D9">
        <w:rPr>
          <w:lang w:val="en-US"/>
        </w:rPr>
        <w:t>U of 137.818 (</w:t>
      </w:r>
      <w:proofErr w:type="spellStart"/>
      <w:r w:rsidRPr="009F00D9">
        <w:rPr>
          <w:lang w:val="en-US"/>
        </w:rPr>
        <w:t>Hiess</w:t>
      </w:r>
      <w:proofErr w:type="spellEnd"/>
      <w:r w:rsidRPr="009F00D9">
        <w:rPr>
          <w:lang w:val="en-US"/>
        </w:rPr>
        <w:t xml:space="preserve"> et al., 2012). </w:t>
      </w:r>
      <w:r w:rsidRPr="009F00D9">
        <w:rPr>
          <w:vertAlign w:val="superscript"/>
          <w:lang w:val="en-US"/>
        </w:rPr>
        <w:t>206</w:t>
      </w:r>
      <w:r w:rsidRPr="009F00D9">
        <w:rPr>
          <w:lang w:val="en-US"/>
        </w:rPr>
        <w:t>Pb/</w:t>
      </w:r>
      <w:r w:rsidRPr="009F00D9">
        <w:rPr>
          <w:vertAlign w:val="superscript"/>
          <w:lang w:val="en-US"/>
        </w:rPr>
        <w:t>238</w:t>
      </w:r>
      <w:r w:rsidRPr="009F00D9">
        <w:rPr>
          <w:lang w:val="en-US"/>
        </w:rPr>
        <w:t xml:space="preserve">U ratios and dates were corrected for initial </w:t>
      </w:r>
      <w:r w:rsidRPr="009F00D9">
        <w:rPr>
          <w:vertAlign w:val="superscript"/>
          <w:lang w:val="en-US"/>
        </w:rPr>
        <w:t>230</w:t>
      </w:r>
      <w:r w:rsidRPr="009F00D9">
        <w:rPr>
          <w:lang w:val="en-US"/>
        </w:rPr>
        <w:t>Th disequilibrium using D</w:t>
      </w:r>
      <w:r w:rsidRPr="009F00D9">
        <w:rPr>
          <w:vertAlign w:val="subscript"/>
          <w:lang w:val="en-US"/>
        </w:rPr>
        <w:t>Th/U</w:t>
      </w:r>
      <w:r w:rsidRPr="009F00D9">
        <w:rPr>
          <w:lang w:val="en-US"/>
        </w:rPr>
        <w:t xml:space="preserve"> = 0.20 ± 0.05 (1</w:t>
      </w:r>
      <w:r w:rsidRPr="009F00D9">
        <w:t>σ</w:t>
      </w:r>
      <w:r w:rsidRPr="009F00D9">
        <w:rPr>
          <w:lang w:val="en-US"/>
        </w:rPr>
        <w:t xml:space="preserve">) and the algorithms of Crowley et al. (2007), resulting in an increase in the </w:t>
      </w:r>
      <w:r w:rsidRPr="009F00D9">
        <w:rPr>
          <w:vertAlign w:val="superscript"/>
          <w:lang w:val="en-US"/>
        </w:rPr>
        <w:t>206</w:t>
      </w:r>
      <w:r w:rsidRPr="009F00D9">
        <w:rPr>
          <w:lang w:val="en-US"/>
        </w:rPr>
        <w:t>Pb/</w:t>
      </w:r>
      <w:r w:rsidRPr="009F00D9">
        <w:rPr>
          <w:vertAlign w:val="superscript"/>
          <w:lang w:val="en-US"/>
        </w:rPr>
        <w:t>238</w:t>
      </w:r>
      <w:r w:rsidRPr="009F00D9">
        <w:rPr>
          <w:lang w:val="en-US"/>
        </w:rPr>
        <w:t xml:space="preserve">U dates of ~0.09 Ma. All common Pb in analyses was </w:t>
      </w:r>
      <w:r w:rsidRPr="009F00D9" w:rsidDel="007132FE">
        <w:rPr>
          <w:lang w:val="en-US"/>
        </w:rPr>
        <w:t xml:space="preserve">attributed to laboratory </w:t>
      </w:r>
      <w:r w:rsidRPr="009F00D9">
        <w:rPr>
          <w:lang w:val="en-US"/>
        </w:rPr>
        <w:t xml:space="preserve">blank and subtracted based on the measured laboratory Pb isotopic composition and associated uncertainty. U blanks are estimated at 0.013 </w:t>
      </w:r>
      <w:proofErr w:type="spellStart"/>
      <w:r w:rsidRPr="009F00D9">
        <w:rPr>
          <w:lang w:val="en-US"/>
        </w:rPr>
        <w:t>pg</w:t>
      </w:r>
      <w:proofErr w:type="spellEnd"/>
      <w:r w:rsidRPr="009F00D9">
        <w:t xml:space="preserve">. </w:t>
      </w:r>
    </w:p>
    <w:p w14:paraId="29BB515F" w14:textId="77777777" w:rsidR="006D1DBD" w:rsidRPr="009F00D9" w:rsidRDefault="006D1DBD" w:rsidP="006D1DBD">
      <w:pPr>
        <w:spacing w:line="480" w:lineRule="auto"/>
        <w:ind w:firstLine="720"/>
        <w:jc w:val="both"/>
        <w:rPr>
          <w:rFonts w:ascii="Times New Roman" w:hAnsi="Times New Roman" w:cs="Times New Roman"/>
        </w:rPr>
      </w:pPr>
      <w:r w:rsidRPr="009F00D9">
        <w:rPr>
          <w:rFonts w:ascii="Times New Roman" w:hAnsi="Times New Roman" w:cs="Times New Roman"/>
        </w:rPr>
        <w:t xml:space="preserve">A weighted mean </w:t>
      </w:r>
      <w:r w:rsidRPr="009F00D9">
        <w:rPr>
          <w:rFonts w:ascii="Times New Roman" w:hAnsi="Times New Roman" w:cs="Times New Roman"/>
          <w:vertAlign w:val="superscript"/>
        </w:rPr>
        <w:t>206</w:t>
      </w:r>
      <w:r w:rsidRPr="009F00D9">
        <w:rPr>
          <w:rFonts w:ascii="Times New Roman" w:hAnsi="Times New Roman" w:cs="Times New Roman"/>
        </w:rPr>
        <w:t>Pb/</w:t>
      </w:r>
      <w:r w:rsidRPr="009F00D9">
        <w:rPr>
          <w:rFonts w:ascii="Times New Roman" w:hAnsi="Times New Roman" w:cs="Times New Roman"/>
          <w:vertAlign w:val="superscript"/>
        </w:rPr>
        <w:t>238</w:t>
      </w:r>
      <w:r w:rsidRPr="009F00D9">
        <w:rPr>
          <w:rFonts w:ascii="Times New Roman" w:hAnsi="Times New Roman" w:cs="Times New Roman"/>
        </w:rPr>
        <w:t xml:space="preserve">U date is calculated from equivalent dates (probability of fit &gt;0.05) using Isoplot 3.0 (Ludwig, 2003) with error at the 95% confidence interval. Error is computed as the internal standard deviation multiplied by the Student's t-distribution multiplier for a two-tailed 95% critical interval and n-1 degrees of freedom when the reduced chi-squared statistic, mean squared weighted deviation (MSWD) (Wendt and Carl, 1991), takes a value less than its expectation value plus its standard deviation at the same confidence interval, which is when MSWD is &lt;1+2*sqrt[2/(n-1)]. This error is expanded via multiplication by the sqrt(MSWD) when the MSWD is  ≥1+2*sqrt[2/(n-1)] to accommodate unknown sources of over dispersion. Error on the weighted mean </w:t>
      </w:r>
      <w:r w:rsidRPr="009F00D9">
        <w:rPr>
          <w:rFonts w:ascii="Times New Roman" w:hAnsi="Times New Roman" w:cs="Times New Roman"/>
          <w:vertAlign w:val="superscript"/>
        </w:rPr>
        <w:t>206</w:t>
      </w:r>
      <w:r w:rsidRPr="009F00D9">
        <w:rPr>
          <w:rFonts w:ascii="Times New Roman" w:hAnsi="Times New Roman" w:cs="Times New Roman"/>
        </w:rPr>
        <w:t>Pb/</w:t>
      </w:r>
      <w:r w:rsidRPr="009F00D9">
        <w:rPr>
          <w:rFonts w:ascii="Times New Roman" w:hAnsi="Times New Roman" w:cs="Times New Roman"/>
          <w:vertAlign w:val="superscript"/>
        </w:rPr>
        <w:t>238</w:t>
      </w:r>
      <w:r w:rsidRPr="009F00D9">
        <w:rPr>
          <w:rFonts w:ascii="Times New Roman" w:hAnsi="Times New Roman" w:cs="Times New Roman"/>
        </w:rPr>
        <w:t xml:space="preserve">U date is given as ± x / y / z, where x is the internal error based on analytical uncertainties only, including counting statistics, subtraction of tracer solution, and blank and initial common Pb subtraction, y includes the tracer calibration uncertainty propagated in quadrature, and z includes the </w:t>
      </w:r>
      <w:r w:rsidRPr="009F00D9">
        <w:rPr>
          <w:rFonts w:ascii="Times New Roman" w:hAnsi="Times New Roman" w:cs="Times New Roman"/>
          <w:vertAlign w:val="superscript"/>
        </w:rPr>
        <w:t>238</w:t>
      </w:r>
      <w:r w:rsidRPr="009F00D9">
        <w:rPr>
          <w:rFonts w:ascii="Times New Roman" w:hAnsi="Times New Roman" w:cs="Times New Roman"/>
        </w:rPr>
        <w:t xml:space="preserve">U decay constant uncertainty propagated in quadrature. Internal error should be considered when comparing our date with </w:t>
      </w:r>
      <w:r w:rsidRPr="009F00D9">
        <w:rPr>
          <w:rFonts w:ascii="Times New Roman" w:hAnsi="Times New Roman" w:cs="Times New Roman"/>
          <w:vertAlign w:val="superscript"/>
        </w:rPr>
        <w:t>206</w:t>
      </w:r>
      <w:r w:rsidRPr="009F00D9">
        <w:rPr>
          <w:rFonts w:ascii="Times New Roman" w:hAnsi="Times New Roman" w:cs="Times New Roman"/>
        </w:rPr>
        <w:t>Pb/</w:t>
      </w:r>
      <w:r w:rsidRPr="009F00D9">
        <w:rPr>
          <w:rFonts w:ascii="Times New Roman" w:hAnsi="Times New Roman" w:cs="Times New Roman"/>
          <w:vertAlign w:val="superscript"/>
        </w:rPr>
        <w:t>238</w:t>
      </w:r>
      <w:r w:rsidRPr="009F00D9">
        <w:rPr>
          <w:rFonts w:ascii="Times New Roman" w:hAnsi="Times New Roman" w:cs="Times New Roman"/>
        </w:rPr>
        <w:t xml:space="preserve">U dates from other laboratories that used the same tracer solution or a tracer solution that was cross-calibrated using EARTHTIME gravimetric standards. Error including the uncertainty in the tracer </w:t>
      </w:r>
      <w:r w:rsidRPr="009F00D9">
        <w:rPr>
          <w:rFonts w:ascii="Times New Roman" w:hAnsi="Times New Roman" w:cs="Times New Roman"/>
        </w:rPr>
        <w:lastRenderedPageBreak/>
        <w:t xml:space="preserve">calibration should be considered when comparing our date with those derived from other geochronological methods using the U-Pb decay scheme (e.g., laser ablation ICPMS). Error including uncertainties in the tracer calibration and </w:t>
      </w:r>
      <w:r w:rsidRPr="009F00D9">
        <w:rPr>
          <w:rFonts w:ascii="Times New Roman" w:hAnsi="Times New Roman" w:cs="Times New Roman"/>
          <w:vertAlign w:val="superscript"/>
        </w:rPr>
        <w:t>238</w:t>
      </w:r>
      <w:r w:rsidRPr="009F00D9">
        <w:rPr>
          <w:rFonts w:ascii="Times New Roman" w:hAnsi="Times New Roman" w:cs="Times New Roman"/>
        </w:rPr>
        <w:t>U decay constant (</w:t>
      </w:r>
      <w:proofErr w:type="spellStart"/>
      <w:r w:rsidRPr="009F00D9">
        <w:rPr>
          <w:rFonts w:ascii="Times New Roman" w:hAnsi="Times New Roman" w:cs="Times New Roman"/>
        </w:rPr>
        <w:t>Jaffey</w:t>
      </w:r>
      <w:proofErr w:type="spellEnd"/>
      <w:r w:rsidRPr="009F00D9">
        <w:rPr>
          <w:rFonts w:ascii="Times New Roman" w:hAnsi="Times New Roman" w:cs="Times New Roman"/>
        </w:rPr>
        <w:t xml:space="preserve"> et al., 1971) should be considered when comparing our date with those derived from other decay schemes (e.g., </w:t>
      </w:r>
      <w:r w:rsidRPr="009F00D9">
        <w:rPr>
          <w:rFonts w:ascii="Times New Roman" w:hAnsi="Times New Roman" w:cs="Times New Roman"/>
          <w:vertAlign w:val="superscript"/>
        </w:rPr>
        <w:t>40</w:t>
      </w:r>
      <w:r w:rsidRPr="009F00D9">
        <w:rPr>
          <w:rFonts w:ascii="Times New Roman" w:hAnsi="Times New Roman" w:cs="Times New Roman"/>
        </w:rPr>
        <w:t>Ar/</w:t>
      </w:r>
      <w:r w:rsidRPr="009F00D9">
        <w:rPr>
          <w:rFonts w:ascii="Times New Roman" w:hAnsi="Times New Roman" w:cs="Times New Roman"/>
          <w:vertAlign w:val="superscript"/>
        </w:rPr>
        <w:t>39</w:t>
      </w:r>
      <w:r w:rsidRPr="009F00D9">
        <w:rPr>
          <w:rFonts w:ascii="Times New Roman" w:hAnsi="Times New Roman" w:cs="Times New Roman"/>
        </w:rPr>
        <w:t xml:space="preserve">Ar, </w:t>
      </w:r>
      <w:r w:rsidRPr="009F00D9">
        <w:rPr>
          <w:rFonts w:ascii="Times New Roman" w:hAnsi="Times New Roman" w:cs="Times New Roman"/>
          <w:vertAlign w:val="superscript"/>
        </w:rPr>
        <w:t>187</w:t>
      </w:r>
      <w:r w:rsidRPr="009F00D9">
        <w:rPr>
          <w:rFonts w:ascii="Times New Roman" w:hAnsi="Times New Roman" w:cs="Times New Roman"/>
        </w:rPr>
        <w:t>Re-</w:t>
      </w:r>
      <w:r w:rsidRPr="009F00D9">
        <w:rPr>
          <w:rFonts w:ascii="Times New Roman" w:hAnsi="Times New Roman" w:cs="Times New Roman"/>
          <w:vertAlign w:val="superscript"/>
        </w:rPr>
        <w:t>187</w:t>
      </w:r>
      <w:r w:rsidRPr="009F00D9">
        <w:rPr>
          <w:rFonts w:ascii="Times New Roman" w:hAnsi="Times New Roman" w:cs="Times New Roman"/>
        </w:rPr>
        <w:t>Os). Errors on dates from individual analyses are at 2σ.</w:t>
      </w:r>
    </w:p>
    <w:p w14:paraId="0405CE86" w14:textId="77777777" w:rsidR="006D1DBD" w:rsidRPr="009F00D9" w:rsidRDefault="006D1DBD" w:rsidP="006D1DBD">
      <w:pPr>
        <w:rPr>
          <w:rFonts w:ascii="Times New Roman" w:hAnsi="Times New Roman" w:cs="Times New Roman"/>
        </w:rPr>
      </w:pPr>
    </w:p>
    <w:p w14:paraId="6DD0A319" w14:textId="77777777" w:rsidR="006D1DBD" w:rsidRPr="009F00D9" w:rsidRDefault="006D1DBD" w:rsidP="006D1DBD">
      <w:pPr>
        <w:pStyle w:val="Heading1"/>
        <w:rPr>
          <w:rFonts w:ascii="Times New Roman" w:hAnsi="Times New Roman" w:cs="Times New Roman"/>
          <w:sz w:val="24"/>
          <w:szCs w:val="24"/>
        </w:rPr>
      </w:pPr>
      <w:r w:rsidRPr="009F00D9">
        <w:rPr>
          <w:rFonts w:ascii="Times New Roman" w:hAnsi="Times New Roman" w:cs="Times New Roman"/>
          <w:sz w:val="24"/>
          <w:szCs w:val="24"/>
        </w:rPr>
        <w:t>3. REFERENCES</w:t>
      </w:r>
    </w:p>
    <w:p w14:paraId="780DEDAA" w14:textId="77777777" w:rsidR="006D1DBD" w:rsidRPr="009F00D9" w:rsidRDefault="006D1DBD" w:rsidP="006D1DBD">
      <w:pPr>
        <w:rPr>
          <w:rFonts w:ascii="Times New Roman" w:hAnsi="Times New Roman" w:cs="Times New Roman"/>
        </w:rPr>
      </w:pPr>
    </w:p>
    <w:p w14:paraId="0B743FD8" w14:textId="5CA27190" w:rsidR="006D1DBD" w:rsidRPr="009F00D9" w:rsidRDefault="006D1DBD" w:rsidP="009F00D9">
      <w:pPr>
        <w:spacing w:line="480" w:lineRule="auto"/>
        <w:ind w:left="720" w:hanging="720"/>
        <w:rPr>
          <w:rFonts w:ascii="Times New Roman" w:hAnsi="Times New Roman" w:cs="Times New Roman"/>
          <w:color w:val="000000" w:themeColor="text1"/>
        </w:rPr>
      </w:pPr>
      <w:proofErr w:type="spellStart"/>
      <w:r w:rsidRPr="009F00D9">
        <w:rPr>
          <w:rFonts w:ascii="Times New Roman" w:hAnsi="Times New Roman" w:cs="Times New Roman"/>
          <w:color w:val="000000" w:themeColor="text1"/>
        </w:rPr>
        <w:t>Andò</w:t>
      </w:r>
      <w:proofErr w:type="spellEnd"/>
      <w:r w:rsidRPr="009F00D9">
        <w:rPr>
          <w:rFonts w:ascii="Times New Roman" w:hAnsi="Times New Roman" w:cs="Times New Roman"/>
          <w:color w:val="000000" w:themeColor="text1"/>
        </w:rPr>
        <w:t>, S., 2020, Gravimetric separation of heavy minerals in sediments and rocks: Minerals, v. 10, no. 3, p. 273</w:t>
      </w:r>
      <w:r w:rsidR="009F00D9">
        <w:rPr>
          <w:rFonts w:ascii="Times New Roman" w:hAnsi="Times New Roman" w:cs="Times New Roman"/>
          <w:color w:val="000000" w:themeColor="text1"/>
        </w:rPr>
        <w:t>,</w:t>
      </w:r>
      <w:r w:rsidRPr="009F00D9">
        <w:rPr>
          <w:rFonts w:ascii="Times New Roman" w:hAnsi="Times New Roman" w:cs="Times New Roman"/>
          <w:color w:val="000000" w:themeColor="text1"/>
        </w:rPr>
        <w:t xml:space="preserve"> </w:t>
      </w:r>
      <w:r w:rsidRPr="009F00D9">
        <w:rPr>
          <w:rFonts w:ascii="Times New Roman" w:hAnsi="Times New Roman" w:cs="Times New Roman"/>
        </w:rPr>
        <w:t>https://doi.org/10.3390/min10030273</w:t>
      </w:r>
      <w:r w:rsidRPr="009F00D9">
        <w:rPr>
          <w:rFonts w:ascii="Times New Roman" w:hAnsi="Times New Roman" w:cs="Times New Roman"/>
          <w:color w:val="000000" w:themeColor="text1"/>
        </w:rPr>
        <w:t>.</w:t>
      </w:r>
    </w:p>
    <w:p w14:paraId="39802D33" w14:textId="22F79BB6" w:rsidR="00C40D34" w:rsidRDefault="00C40D34" w:rsidP="006D1DBD">
      <w:pPr>
        <w:spacing w:line="480" w:lineRule="auto"/>
        <w:ind w:left="720" w:hanging="720"/>
        <w:rPr>
          <w:rFonts w:ascii="Times New Roman" w:hAnsi="Times New Roman" w:cs="Times New Roman"/>
          <w:color w:val="000000" w:themeColor="text1"/>
        </w:rPr>
      </w:pPr>
      <w:r w:rsidRPr="00C40D34">
        <w:rPr>
          <w:rFonts w:ascii="Times New Roman" w:hAnsi="Times New Roman" w:cs="Times New Roman"/>
          <w:color w:val="000000" w:themeColor="text1"/>
        </w:rPr>
        <w:t xml:space="preserve">Crowley, J.L., Schoene, B., Bowring, S.A., 2007, U-Pb dating of zircon in the </w:t>
      </w:r>
      <w:proofErr w:type="gramStart"/>
      <w:r w:rsidRPr="00C40D34">
        <w:rPr>
          <w:rFonts w:ascii="Times New Roman" w:hAnsi="Times New Roman" w:cs="Times New Roman"/>
          <w:color w:val="000000" w:themeColor="text1"/>
        </w:rPr>
        <w:t>Bishop</w:t>
      </w:r>
      <w:proofErr w:type="gramEnd"/>
      <w:r w:rsidRPr="00C40D34">
        <w:rPr>
          <w:rFonts w:ascii="Times New Roman" w:hAnsi="Times New Roman" w:cs="Times New Roman"/>
          <w:color w:val="000000" w:themeColor="text1"/>
        </w:rPr>
        <w:t xml:space="preserve"> Tuff at the millennial scale: Geology, v. 35, no. 12, p. 1123-1126, https://doi.org/10.1130/G24017A.1.</w:t>
      </w:r>
    </w:p>
    <w:p w14:paraId="1F643522" w14:textId="77777777" w:rsidR="00CC2ABA" w:rsidRDefault="00CC2ABA" w:rsidP="006D1DBD">
      <w:pPr>
        <w:spacing w:line="480" w:lineRule="auto"/>
        <w:ind w:left="720" w:hanging="720"/>
        <w:rPr>
          <w:rFonts w:ascii="Times New Roman" w:hAnsi="Times New Roman" w:cs="Times New Roman"/>
          <w:color w:val="000000" w:themeColor="text1"/>
        </w:rPr>
      </w:pPr>
      <w:r w:rsidRPr="00CC2ABA">
        <w:rPr>
          <w:rFonts w:ascii="Times New Roman" w:hAnsi="Times New Roman" w:cs="Times New Roman"/>
          <w:color w:val="000000" w:themeColor="text1"/>
        </w:rPr>
        <w:t>Gerstenberger, H., and Haase, G., 1997, A highly effective emitter substance for mass spectrometric Pb isotope ration determinations: Chemical Geology, v. 136, p. 309–312, https://doi.org/10.1016/ S0009-2541(96)00033-2.</w:t>
      </w:r>
    </w:p>
    <w:p w14:paraId="76CECB28" w14:textId="6BBF351C" w:rsidR="00B958D7" w:rsidRDefault="00B958D7" w:rsidP="00B958D7">
      <w:pPr>
        <w:spacing w:line="480" w:lineRule="auto"/>
        <w:ind w:left="720" w:hanging="720"/>
        <w:rPr>
          <w:rFonts w:ascii="Times New Roman" w:hAnsi="Times New Roman" w:cs="Times New Roman"/>
          <w:color w:val="000000" w:themeColor="text1"/>
        </w:rPr>
      </w:pPr>
      <w:proofErr w:type="spellStart"/>
      <w:r w:rsidRPr="00B958D7">
        <w:rPr>
          <w:rFonts w:ascii="Times New Roman" w:hAnsi="Times New Roman" w:cs="Times New Roman"/>
          <w:color w:val="000000" w:themeColor="text1"/>
        </w:rPr>
        <w:t>Hiess</w:t>
      </w:r>
      <w:proofErr w:type="spellEnd"/>
      <w:r w:rsidRPr="00B958D7">
        <w:rPr>
          <w:rFonts w:ascii="Times New Roman" w:hAnsi="Times New Roman" w:cs="Times New Roman"/>
          <w:color w:val="000000" w:themeColor="text1"/>
        </w:rPr>
        <w:t xml:space="preserve"> J., Condon D.J., McLean N., Noble S.R., 2012, 238U/235U Systematics in terrestrial uranium-bearing minerals: Science, v. 335, p. 1610-1614, https://doi.org/10.1126/science.1215507. </w:t>
      </w:r>
    </w:p>
    <w:p w14:paraId="51385C9D" w14:textId="250489EB" w:rsidR="007C31D4" w:rsidRDefault="007C31D4" w:rsidP="00DF64FA">
      <w:pPr>
        <w:spacing w:line="480" w:lineRule="auto"/>
        <w:ind w:left="720" w:hanging="720"/>
        <w:rPr>
          <w:rFonts w:ascii="Times New Roman" w:hAnsi="Times New Roman" w:cs="Times New Roman"/>
          <w:color w:val="000000" w:themeColor="text1"/>
        </w:rPr>
      </w:pPr>
      <w:proofErr w:type="spellStart"/>
      <w:r w:rsidRPr="007C31D4">
        <w:rPr>
          <w:rFonts w:ascii="Times New Roman" w:hAnsi="Times New Roman" w:cs="Times New Roman"/>
          <w:color w:val="000000" w:themeColor="text1"/>
        </w:rPr>
        <w:t>Jaffey</w:t>
      </w:r>
      <w:proofErr w:type="spellEnd"/>
      <w:r w:rsidRPr="007C31D4">
        <w:rPr>
          <w:rFonts w:ascii="Times New Roman" w:hAnsi="Times New Roman" w:cs="Times New Roman"/>
          <w:color w:val="000000" w:themeColor="text1"/>
        </w:rPr>
        <w:t xml:space="preserve">, A.H., Flynn, K.F., </w:t>
      </w:r>
      <w:proofErr w:type="spellStart"/>
      <w:r w:rsidRPr="007C31D4">
        <w:rPr>
          <w:rFonts w:ascii="Times New Roman" w:hAnsi="Times New Roman" w:cs="Times New Roman"/>
          <w:color w:val="000000" w:themeColor="text1"/>
        </w:rPr>
        <w:t>Glendenin</w:t>
      </w:r>
      <w:proofErr w:type="spellEnd"/>
      <w:r w:rsidRPr="007C31D4">
        <w:rPr>
          <w:rFonts w:ascii="Times New Roman" w:hAnsi="Times New Roman" w:cs="Times New Roman"/>
          <w:color w:val="000000" w:themeColor="text1"/>
        </w:rPr>
        <w:t>, L.E., Bentley, W.C. and Essling, A.M., 1971, Precision measurement of half-lives and specific activities of 235U and 238U: Physical Review C: Nuclear Physics, v. 4, p. 1889–1906, https://doi.org/10.1103/PhysRevC.4.1889.</w:t>
      </w:r>
    </w:p>
    <w:p w14:paraId="567DF8B3" w14:textId="1A739AE0" w:rsidR="00DF64FA" w:rsidRDefault="00DF64FA" w:rsidP="006D1DBD">
      <w:pPr>
        <w:spacing w:line="480" w:lineRule="auto"/>
        <w:ind w:left="720" w:hanging="720"/>
        <w:jc w:val="both"/>
        <w:rPr>
          <w:rFonts w:ascii="Times New Roman" w:hAnsi="Times New Roman" w:cs="Times New Roman"/>
          <w:color w:val="000000" w:themeColor="text1"/>
        </w:rPr>
      </w:pPr>
      <w:r w:rsidRPr="00DF64FA">
        <w:rPr>
          <w:rFonts w:ascii="Times New Roman" w:hAnsi="Times New Roman" w:cs="Times New Roman"/>
          <w:color w:val="000000" w:themeColor="text1"/>
        </w:rPr>
        <w:lastRenderedPageBreak/>
        <w:t xml:space="preserve">Krogh, T. E., 1973, A low-contamination method for hydrothermal decomposition of zircon and extraction of U and Pb for isotopic age determinations: </w:t>
      </w:r>
      <w:proofErr w:type="spellStart"/>
      <w:r w:rsidRPr="00DF64FA">
        <w:rPr>
          <w:rFonts w:ascii="Times New Roman" w:hAnsi="Times New Roman" w:cs="Times New Roman"/>
          <w:color w:val="000000" w:themeColor="text1"/>
        </w:rPr>
        <w:t>Geochimica</w:t>
      </w:r>
      <w:proofErr w:type="spellEnd"/>
      <w:r w:rsidRPr="00DF64FA">
        <w:rPr>
          <w:rFonts w:ascii="Times New Roman" w:hAnsi="Times New Roman" w:cs="Times New Roman"/>
          <w:color w:val="000000" w:themeColor="text1"/>
        </w:rPr>
        <w:t xml:space="preserve"> et </w:t>
      </w:r>
      <w:proofErr w:type="spellStart"/>
      <w:r w:rsidRPr="00DF64FA">
        <w:rPr>
          <w:rFonts w:ascii="Times New Roman" w:hAnsi="Times New Roman" w:cs="Times New Roman"/>
          <w:color w:val="000000" w:themeColor="text1"/>
        </w:rPr>
        <w:t>Cosmochimica</w:t>
      </w:r>
      <w:proofErr w:type="spellEnd"/>
      <w:r w:rsidRPr="00DF64FA">
        <w:rPr>
          <w:rFonts w:ascii="Times New Roman" w:hAnsi="Times New Roman" w:cs="Times New Roman"/>
          <w:color w:val="000000" w:themeColor="text1"/>
        </w:rPr>
        <w:t xml:space="preserve"> Acta, v. 37, p. 485-494, https://doi.org/10.1016/0016-7037(73)90213-5.</w:t>
      </w:r>
    </w:p>
    <w:p w14:paraId="42D5C76A" w14:textId="13F91D74" w:rsidR="006D1DBD" w:rsidRPr="009F00D9" w:rsidRDefault="006D1DBD" w:rsidP="006D1DBD">
      <w:pPr>
        <w:spacing w:line="480" w:lineRule="auto"/>
        <w:ind w:left="720" w:hanging="720"/>
        <w:jc w:val="both"/>
        <w:rPr>
          <w:rFonts w:ascii="Times New Roman" w:hAnsi="Times New Roman" w:cs="Times New Roman"/>
          <w:color w:val="000000" w:themeColor="text1"/>
        </w:rPr>
      </w:pPr>
      <w:r w:rsidRPr="009F00D9">
        <w:rPr>
          <w:rFonts w:ascii="Times New Roman" w:hAnsi="Times New Roman" w:cs="Times New Roman"/>
          <w:color w:val="000000" w:themeColor="text1"/>
        </w:rPr>
        <w:t>Ludwig, K.R., 2003, User’s Manual for Isoplot 3.00</w:t>
      </w:r>
      <w:r w:rsidR="00BC0D12">
        <w:rPr>
          <w:rFonts w:ascii="Times New Roman" w:hAnsi="Times New Roman" w:cs="Times New Roman"/>
          <w:color w:val="000000" w:themeColor="text1"/>
        </w:rPr>
        <w:t>:</w:t>
      </w:r>
      <w:r w:rsidRPr="009F00D9">
        <w:rPr>
          <w:rFonts w:ascii="Times New Roman" w:hAnsi="Times New Roman" w:cs="Times New Roman"/>
          <w:color w:val="000000" w:themeColor="text1"/>
        </w:rPr>
        <w:t xml:space="preserve"> Berkeley Geochronology Center</w:t>
      </w:r>
      <w:r w:rsidR="00BC0D12">
        <w:rPr>
          <w:rFonts w:ascii="Times New Roman" w:hAnsi="Times New Roman" w:cs="Times New Roman"/>
          <w:color w:val="000000" w:themeColor="text1"/>
        </w:rPr>
        <w:t>,</w:t>
      </w:r>
      <w:r w:rsidRPr="009F00D9">
        <w:rPr>
          <w:rFonts w:ascii="Times New Roman" w:hAnsi="Times New Roman" w:cs="Times New Roman"/>
          <w:color w:val="000000" w:themeColor="text1"/>
        </w:rPr>
        <w:t xml:space="preserve"> Berkeley, CA,</w:t>
      </w:r>
      <w:r w:rsidR="00073934">
        <w:rPr>
          <w:rFonts w:ascii="Times New Roman" w:hAnsi="Times New Roman" w:cs="Times New Roman"/>
          <w:color w:val="000000" w:themeColor="text1"/>
        </w:rPr>
        <w:t xml:space="preserve"> </w:t>
      </w:r>
      <w:r w:rsidRPr="009F00D9">
        <w:rPr>
          <w:rFonts w:ascii="Times New Roman" w:hAnsi="Times New Roman" w:cs="Times New Roman"/>
          <w:color w:val="000000" w:themeColor="text1"/>
        </w:rPr>
        <w:t>7</w:t>
      </w:r>
      <w:r w:rsidR="00BC0D12">
        <w:rPr>
          <w:rFonts w:ascii="Times New Roman" w:hAnsi="Times New Roman" w:cs="Times New Roman"/>
          <w:color w:val="000000" w:themeColor="text1"/>
        </w:rPr>
        <w:t>4</w:t>
      </w:r>
      <w:r w:rsidRPr="009F00D9">
        <w:rPr>
          <w:rFonts w:ascii="Times New Roman" w:hAnsi="Times New Roman" w:cs="Times New Roman"/>
          <w:color w:val="000000" w:themeColor="text1"/>
        </w:rPr>
        <w:t xml:space="preserve"> p.</w:t>
      </w:r>
    </w:p>
    <w:p w14:paraId="2CF04C45" w14:textId="463D1D3C" w:rsidR="002A7CE2" w:rsidRDefault="002A7CE2" w:rsidP="00151F9E">
      <w:pPr>
        <w:spacing w:line="480" w:lineRule="auto"/>
        <w:ind w:left="720" w:hanging="720"/>
        <w:rPr>
          <w:rFonts w:ascii="Times New Roman" w:hAnsi="Times New Roman" w:cs="Times New Roman"/>
          <w:color w:val="000000" w:themeColor="text1"/>
        </w:rPr>
      </w:pPr>
      <w:r w:rsidRPr="002A7CE2">
        <w:rPr>
          <w:rFonts w:ascii="Times New Roman" w:hAnsi="Times New Roman" w:cs="Times New Roman"/>
          <w:color w:val="000000" w:themeColor="text1"/>
        </w:rPr>
        <w:t>Mattinson, J.M., 2005, Zircon U-Pb chemical abrasion (“CA-TIMS”) method: Combined annealing and multi-step partial dissolution analysis for improved precision and accuracy of zircon ages: Chemical Geology, v. 220, p. 47–66, https://doi.org/10.1016/j.chemgeo.2005.03.011.</w:t>
      </w:r>
    </w:p>
    <w:p w14:paraId="50DCEAE7" w14:textId="35E0462E" w:rsidR="006D1DBD" w:rsidRPr="009F00D9" w:rsidRDefault="006D1DBD" w:rsidP="007C5295">
      <w:pPr>
        <w:spacing w:line="480" w:lineRule="auto"/>
        <w:ind w:left="720" w:hanging="720"/>
        <w:rPr>
          <w:rFonts w:ascii="Times New Roman" w:hAnsi="Times New Roman" w:cs="Times New Roman"/>
          <w:color w:val="000000" w:themeColor="text1"/>
        </w:rPr>
      </w:pPr>
      <w:r w:rsidRPr="009F00D9">
        <w:rPr>
          <w:rFonts w:ascii="Times New Roman" w:hAnsi="Times New Roman" w:cs="Times New Roman"/>
          <w:color w:val="000000" w:themeColor="text1"/>
        </w:rPr>
        <w:t xml:space="preserve">Wendt, I., </w:t>
      </w:r>
      <w:r w:rsidR="00151F9E">
        <w:rPr>
          <w:rFonts w:ascii="Times New Roman" w:hAnsi="Times New Roman" w:cs="Times New Roman"/>
          <w:color w:val="000000" w:themeColor="text1"/>
        </w:rPr>
        <w:t xml:space="preserve">and </w:t>
      </w:r>
      <w:r w:rsidRPr="009F00D9">
        <w:rPr>
          <w:rFonts w:ascii="Times New Roman" w:hAnsi="Times New Roman" w:cs="Times New Roman"/>
          <w:color w:val="000000" w:themeColor="text1"/>
        </w:rPr>
        <w:t>Carl, C., 1991, The statistical distribution of the mean squared weighted deviation: Chemical Geology</w:t>
      </w:r>
      <w:r w:rsidR="008C19BD">
        <w:rPr>
          <w:rFonts w:ascii="Times New Roman" w:hAnsi="Times New Roman" w:cs="Times New Roman"/>
          <w:color w:val="000000" w:themeColor="text1"/>
        </w:rPr>
        <w:t xml:space="preserve">: </w:t>
      </w:r>
      <w:r w:rsidRPr="009F00D9">
        <w:rPr>
          <w:rFonts w:ascii="Times New Roman" w:hAnsi="Times New Roman" w:cs="Times New Roman"/>
          <w:color w:val="000000" w:themeColor="text1"/>
        </w:rPr>
        <w:t xml:space="preserve">Isotope Geoscience </w:t>
      </w:r>
      <w:r w:rsidR="008C19BD">
        <w:rPr>
          <w:rFonts w:ascii="Times New Roman" w:hAnsi="Times New Roman" w:cs="Times New Roman"/>
          <w:color w:val="000000" w:themeColor="text1"/>
        </w:rPr>
        <w:t>s</w:t>
      </w:r>
      <w:r w:rsidRPr="009F00D9">
        <w:rPr>
          <w:rFonts w:ascii="Times New Roman" w:hAnsi="Times New Roman" w:cs="Times New Roman"/>
          <w:color w:val="000000" w:themeColor="text1"/>
        </w:rPr>
        <w:t>ection</w:t>
      </w:r>
      <w:r w:rsidR="00151F9E">
        <w:rPr>
          <w:rFonts w:ascii="Times New Roman" w:hAnsi="Times New Roman" w:cs="Times New Roman"/>
          <w:color w:val="000000" w:themeColor="text1"/>
        </w:rPr>
        <w:t>,</w:t>
      </w:r>
      <w:r w:rsidRPr="009F00D9">
        <w:rPr>
          <w:rFonts w:ascii="Times New Roman" w:hAnsi="Times New Roman" w:cs="Times New Roman"/>
          <w:color w:val="000000" w:themeColor="text1"/>
        </w:rPr>
        <w:t xml:space="preserve"> v. 86, </w:t>
      </w:r>
      <w:r w:rsidR="008C19BD">
        <w:rPr>
          <w:rFonts w:ascii="Times New Roman" w:hAnsi="Times New Roman" w:cs="Times New Roman"/>
          <w:color w:val="000000" w:themeColor="text1"/>
        </w:rPr>
        <w:t xml:space="preserve">no. 4, </w:t>
      </w:r>
      <w:r w:rsidRPr="009F00D9">
        <w:rPr>
          <w:rFonts w:ascii="Times New Roman" w:hAnsi="Times New Roman" w:cs="Times New Roman"/>
          <w:color w:val="000000" w:themeColor="text1"/>
        </w:rPr>
        <w:t>p. 275–28</w:t>
      </w:r>
      <w:r w:rsidR="008C19BD">
        <w:rPr>
          <w:rFonts w:ascii="Times New Roman" w:hAnsi="Times New Roman" w:cs="Times New Roman"/>
          <w:color w:val="000000" w:themeColor="text1"/>
        </w:rPr>
        <w:t>5</w:t>
      </w:r>
      <w:r w:rsidR="007C5295">
        <w:rPr>
          <w:rFonts w:ascii="Times New Roman" w:hAnsi="Times New Roman" w:cs="Times New Roman"/>
          <w:color w:val="000000" w:themeColor="text1"/>
        </w:rPr>
        <w:t xml:space="preserve">, </w:t>
      </w:r>
      <w:r w:rsidR="007C5295" w:rsidRPr="007C5295">
        <w:rPr>
          <w:rFonts w:ascii="Times New Roman" w:hAnsi="Times New Roman" w:cs="Times New Roman"/>
          <w:color w:val="000000" w:themeColor="text1"/>
        </w:rPr>
        <w:t>https://doi.org/10.1016/0168-9622(91)90010-T</w:t>
      </w:r>
      <w:r w:rsidR="007C5295">
        <w:rPr>
          <w:rFonts w:ascii="Times New Roman" w:hAnsi="Times New Roman" w:cs="Times New Roman"/>
          <w:color w:val="000000" w:themeColor="text1"/>
        </w:rPr>
        <w:t>.</w:t>
      </w:r>
    </w:p>
    <w:p w14:paraId="13ABA9A5" w14:textId="622A5051" w:rsidR="00333D45" w:rsidRPr="009F00D9" w:rsidRDefault="00333D45" w:rsidP="00151F9E">
      <w:pPr>
        <w:spacing w:line="480" w:lineRule="auto"/>
        <w:ind w:left="720" w:hanging="720"/>
        <w:jc w:val="both"/>
        <w:rPr>
          <w:rFonts w:ascii="Times New Roman" w:hAnsi="Times New Roman" w:cs="Times New Roman"/>
        </w:rPr>
      </w:pPr>
    </w:p>
    <w:sectPr w:rsidR="00333D45" w:rsidRPr="009F00D9" w:rsidSect="00E04CEE">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4512E" w14:textId="77777777" w:rsidR="00E0310C" w:rsidRDefault="00E0310C" w:rsidP="00E0310C">
      <w:r>
        <w:separator/>
      </w:r>
    </w:p>
  </w:endnote>
  <w:endnote w:type="continuationSeparator" w:id="0">
    <w:p w14:paraId="7726AB95" w14:textId="77777777" w:rsidR="00E0310C" w:rsidRDefault="00E0310C" w:rsidP="00E03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tima">
    <w:altName w:val="Calibri"/>
    <w:charset w:val="00"/>
    <w:family w:val="auto"/>
    <w:pitch w:val="variable"/>
    <w:sig w:usb0="80000067"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2BE11B" w14:textId="77777777" w:rsidR="00E0310C" w:rsidRDefault="00E0310C" w:rsidP="00E0310C">
      <w:r>
        <w:separator/>
      </w:r>
    </w:p>
  </w:footnote>
  <w:footnote w:type="continuationSeparator" w:id="0">
    <w:p w14:paraId="719112D4" w14:textId="77777777" w:rsidR="00E0310C" w:rsidRDefault="00E0310C" w:rsidP="00E031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8A91B" w14:textId="3EAEB451" w:rsidR="00E0310C" w:rsidRDefault="00E0310C">
    <w:pPr>
      <w:pStyle w:val="Header"/>
    </w:pPr>
    <w:r w:rsidRPr="00A51E82">
      <w:t xml:space="preserve">Becker, N.A., George, F.R., Guice, G.L., Crowley, J.L., Nelson, W.R., Browning-Hanson, J.F., Roy, S., and </w:t>
    </w:r>
    <w:proofErr w:type="spellStart"/>
    <w:r w:rsidRPr="00A51E82">
      <w:t>Viete</w:t>
    </w:r>
    <w:proofErr w:type="spellEnd"/>
    <w:r w:rsidRPr="00A51E82">
      <w:t>, D.R., 2023, Subduction initiation recorded in the Dadeville Complex of Alabama and Georgia, southeastern United States: Geosphere, v. 19, https://doi.org/10.1130/GES02643.1.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E7D3A"/>
    <w:multiLevelType w:val="multilevel"/>
    <w:tmpl w:val="B5E24E8E"/>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018126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1C4"/>
    <w:rsid w:val="000275C1"/>
    <w:rsid w:val="00030001"/>
    <w:rsid w:val="00030767"/>
    <w:rsid w:val="00040F71"/>
    <w:rsid w:val="00065F14"/>
    <w:rsid w:val="00073934"/>
    <w:rsid w:val="000746E7"/>
    <w:rsid w:val="000800D3"/>
    <w:rsid w:val="000D3995"/>
    <w:rsid w:val="000D67DE"/>
    <w:rsid w:val="000F06B8"/>
    <w:rsid w:val="0011663D"/>
    <w:rsid w:val="001177EB"/>
    <w:rsid w:val="001352ED"/>
    <w:rsid w:val="001366F0"/>
    <w:rsid w:val="00151F9E"/>
    <w:rsid w:val="0016736A"/>
    <w:rsid w:val="00167FEF"/>
    <w:rsid w:val="001835D0"/>
    <w:rsid w:val="00187097"/>
    <w:rsid w:val="001A0B85"/>
    <w:rsid w:val="001C2721"/>
    <w:rsid w:val="001E4887"/>
    <w:rsid w:val="001E5A79"/>
    <w:rsid w:val="001F4955"/>
    <w:rsid w:val="001F62E7"/>
    <w:rsid w:val="002055E0"/>
    <w:rsid w:val="00211D9B"/>
    <w:rsid w:val="002161B3"/>
    <w:rsid w:val="00240584"/>
    <w:rsid w:val="00253097"/>
    <w:rsid w:val="00292445"/>
    <w:rsid w:val="0029746A"/>
    <w:rsid w:val="002A7CE2"/>
    <w:rsid w:val="002B0724"/>
    <w:rsid w:val="002B46C9"/>
    <w:rsid w:val="002B5E09"/>
    <w:rsid w:val="002B67EE"/>
    <w:rsid w:val="002D4716"/>
    <w:rsid w:val="002E6180"/>
    <w:rsid w:val="00316DE8"/>
    <w:rsid w:val="00333D45"/>
    <w:rsid w:val="00335457"/>
    <w:rsid w:val="00351B4E"/>
    <w:rsid w:val="003962AD"/>
    <w:rsid w:val="003A4F1A"/>
    <w:rsid w:val="003C6A1A"/>
    <w:rsid w:val="003D1E9A"/>
    <w:rsid w:val="003E4EA2"/>
    <w:rsid w:val="00414F3E"/>
    <w:rsid w:val="0043482D"/>
    <w:rsid w:val="00440687"/>
    <w:rsid w:val="0046246A"/>
    <w:rsid w:val="0048269C"/>
    <w:rsid w:val="0048675D"/>
    <w:rsid w:val="004956C3"/>
    <w:rsid w:val="004B0CAD"/>
    <w:rsid w:val="004C4D3C"/>
    <w:rsid w:val="004E4C1F"/>
    <w:rsid w:val="004F0286"/>
    <w:rsid w:val="004F618D"/>
    <w:rsid w:val="00507334"/>
    <w:rsid w:val="0051326A"/>
    <w:rsid w:val="00514735"/>
    <w:rsid w:val="00520B6E"/>
    <w:rsid w:val="00535354"/>
    <w:rsid w:val="00535BD2"/>
    <w:rsid w:val="005411A7"/>
    <w:rsid w:val="00551E1F"/>
    <w:rsid w:val="00563B2C"/>
    <w:rsid w:val="00566B87"/>
    <w:rsid w:val="005B6863"/>
    <w:rsid w:val="005B7273"/>
    <w:rsid w:val="005C0DC3"/>
    <w:rsid w:val="005C47D0"/>
    <w:rsid w:val="005C4C9C"/>
    <w:rsid w:val="005C765D"/>
    <w:rsid w:val="005D3554"/>
    <w:rsid w:val="005D3582"/>
    <w:rsid w:val="005E1867"/>
    <w:rsid w:val="005F7AAA"/>
    <w:rsid w:val="00611088"/>
    <w:rsid w:val="0062754F"/>
    <w:rsid w:val="00636F24"/>
    <w:rsid w:val="006641B5"/>
    <w:rsid w:val="00681CD3"/>
    <w:rsid w:val="00685A9B"/>
    <w:rsid w:val="006948BC"/>
    <w:rsid w:val="006B0038"/>
    <w:rsid w:val="006B49B2"/>
    <w:rsid w:val="006B73BF"/>
    <w:rsid w:val="006C2A89"/>
    <w:rsid w:val="006D1DBD"/>
    <w:rsid w:val="006D7770"/>
    <w:rsid w:val="007017D7"/>
    <w:rsid w:val="0071345A"/>
    <w:rsid w:val="00720DFE"/>
    <w:rsid w:val="007371C4"/>
    <w:rsid w:val="00737B66"/>
    <w:rsid w:val="00744F42"/>
    <w:rsid w:val="00764019"/>
    <w:rsid w:val="007B34DB"/>
    <w:rsid w:val="007B6265"/>
    <w:rsid w:val="007B6545"/>
    <w:rsid w:val="007B781B"/>
    <w:rsid w:val="007C054C"/>
    <w:rsid w:val="007C231E"/>
    <w:rsid w:val="007C31D4"/>
    <w:rsid w:val="007C5295"/>
    <w:rsid w:val="007D32DC"/>
    <w:rsid w:val="007D3B43"/>
    <w:rsid w:val="007D4CFD"/>
    <w:rsid w:val="007D5001"/>
    <w:rsid w:val="007E543C"/>
    <w:rsid w:val="007F2624"/>
    <w:rsid w:val="007F4B9C"/>
    <w:rsid w:val="00823AC6"/>
    <w:rsid w:val="00830707"/>
    <w:rsid w:val="00846C75"/>
    <w:rsid w:val="008508F6"/>
    <w:rsid w:val="00851414"/>
    <w:rsid w:val="00855FA3"/>
    <w:rsid w:val="00866F67"/>
    <w:rsid w:val="00877711"/>
    <w:rsid w:val="008844EB"/>
    <w:rsid w:val="00891079"/>
    <w:rsid w:val="008920DC"/>
    <w:rsid w:val="008A027B"/>
    <w:rsid w:val="008A0B2D"/>
    <w:rsid w:val="008A0C2E"/>
    <w:rsid w:val="008A5740"/>
    <w:rsid w:val="008B00F6"/>
    <w:rsid w:val="008B3A08"/>
    <w:rsid w:val="008C19BD"/>
    <w:rsid w:val="008E161B"/>
    <w:rsid w:val="008F06B5"/>
    <w:rsid w:val="008F0E6A"/>
    <w:rsid w:val="00903E6F"/>
    <w:rsid w:val="00913232"/>
    <w:rsid w:val="00921E24"/>
    <w:rsid w:val="00971D05"/>
    <w:rsid w:val="0097328F"/>
    <w:rsid w:val="00982A83"/>
    <w:rsid w:val="0098374C"/>
    <w:rsid w:val="00987345"/>
    <w:rsid w:val="009875A5"/>
    <w:rsid w:val="00990626"/>
    <w:rsid w:val="00993982"/>
    <w:rsid w:val="009B6A8D"/>
    <w:rsid w:val="009C55B2"/>
    <w:rsid w:val="009D2E11"/>
    <w:rsid w:val="009F00D9"/>
    <w:rsid w:val="009F2D38"/>
    <w:rsid w:val="009F337D"/>
    <w:rsid w:val="00A074D2"/>
    <w:rsid w:val="00A1165C"/>
    <w:rsid w:val="00A211BF"/>
    <w:rsid w:val="00A3679E"/>
    <w:rsid w:val="00A41CBA"/>
    <w:rsid w:val="00A553F3"/>
    <w:rsid w:val="00A61673"/>
    <w:rsid w:val="00A62658"/>
    <w:rsid w:val="00A7605F"/>
    <w:rsid w:val="00A95F96"/>
    <w:rsid w:val="00AD5F42"/>
    <w:rsid w:val="00AE6671"/>
    <w:rsid w:val="00AF1BDD"/>
    <w:rsid w:val="00B07AE9"/>
    <w:rsid w:val="00B414B8"/>
    <w:rsid w:val="00B47360"/>
    <w:rsid w:val="00B659CA"/>
    <w:rsid w:val="00B837A5"/>
    <w:rsid w:val="00B846A5"/>
    <w:rsid w:val="00B958D7"/>
    <w:rsid w:val="00BA69EC"/>
    <w:rsid w:val="00BA7B37"/>
    <w:rsid w:val="00BC0B49"/>
    <w:rsid w:val="00BC0D12"/>
    <w:rsid w:val="00BD17FD"/>
    <w:rsid w:val="00BE2B3D"/>
    <w:rsid w:val="00BE43E3"/>
    <w:rsid w:val="00BF6AFA"/>
    <w:rsid w:val="00C1431A"/>
    <w:rsid w:val="00C40D34"/>
    <w:rsid w:val="00C467AB"/>
    <w:rsid w:val="00C61908"/>
    <w:rsid w:val="00C626A2"/>
    <w:rsid w:val="00C93227"/>
    <w:rsid w:val="00CA1595"/>
    <w:rsid w:val="00CC2ABA"/>
    <w:rsid w:val="00CF26C7"/>
    <w:rsid w:val="00CF3CA6"/>
    <w:rsid w:val="00D25498"/>
    <w:rsid w:val="00D273DB"/>
    <w:rsid w:val="00D41262"/>
    <w:rsid w:val="00D41768"/>
    <w:rsid w:val="00D619B9"/>
    <w:rsid w:val="00D71A61"/>
    <w:rsid w:val="00D8350C"/>
    <w:rsid w:val="00D8775D"/>
    <w:rsid w:val="00DF64FA"/>
    <w:rsid w:val="00E01B51"/>
    <w:rsid w:val="00E0310C"/>
    <w:rsid w:val="00E04CEE"/>
    <w:rsid w:val="00E13304"/>
    <w:rsid w:val="00E45880"/>
    <w:rsid w:val="00E464CE"/>
    <w:rsid w:val="00E67B5C"/>
    <w:rsid w:val="00E950A3"/>
    <w:rsid w:val="00ED4E13"/>
    <w:rsid w:val="00ED5C94"/>
    <w:rsid w:val="00EF47C7"/>
    <w:rsid w:val="00EF5579"/>
    <w:rsid w:val="00F00D89"/>
    <w:rsid w:val="00F119F1"/>
    <w:rsid w:val="00F16D09"/>
    <w:rsid w:val="00F34D61"/>
    <w:rsid w:val="00F422B9"/>
    <w:rsid w:val="00F56B58"/>
    <w:rsid w:val="00F7072E"/>
    <w:rsid w:val="00F765EE"/>
    <w:rsid w:val="00F8394E"/>
    <w:rsid w:val="00FA1C94"/>
    <w:rsid w:val="00FA38AC"/>
    <w:rsid w:val="00FA4843"/>
    <w:rsid w:val="00FB37B7"/>
    <w:rsid w:val="00FC610B"/>
    <w:rsid w:val="00FD2029"/>
    <w:rsid w:val="00FF0733"/>
    <w:rsid w:val="00FF3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1D19A1"/>
  <w15:chartTrackingRefBased/>
  <w15:docId w15:val="{9D6FAEED-97F8-5749-9BE8-48093C30FE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1C4"/>
  </w:style>
  <w:style w:type="paragraph" w:styleId="Heading1">
    <w:name w:val="heading 1"/>
    <w:basedOn w:val="Normal"/>
    <w:next w:val="Normal"/>
    <w:link w:val="Heading1Char"/>
    <w:uiPriority w:val="9"/>
    <w:qFormat/>
    <w:rsid w:val="00E01B51"/>
    <w:pPr>
      <w:jc w:val="both"/>
      <w:outlineLvl w:val="0"/>
    </w:pPr>
    <w:rPr>
      <w:rFonts w:ascii="Optima" w:hAnsi="Optima"/>
      <w:b/>
      <w:bCs/>
      <w:sz w:val="21"/>
      <w:szCs w:val="21"/>
    </w:rPr>
  </w:style>
  <w:style w:type="paragraph" w:styleId="Heading2">
    <w:name w:val="heading 2"/>
    <w:basedOn w:val="Normal"/>
    <w:next w:val="Normal"/>
    <w:link w:val="Heading2Char"/>
    <w:qFormat/>
    <w:rsid w:val="00E01B51"/>
    <w:pPr>
      <w:jc w:val="both"/>
      <w:outlineLvl w:val="1"/>
    </w:pPr>
    <w:rPr>
      <w:rFonts w:ascii="Optima" w:hAnsi="Optima"/>
      <w:b/>
      <w:bCs/>
      <w:sz w:val="21"/>
      <w:szCs w:val="21"/>
    </w:rPr>
  </w:style>
  <w:style w:type="paragraph" w:styleId="Heading3">
    <w:name w:val="heading 3"/>
    <w:basedOn w:val="Normal"/>
    <w:next w:val="Normal"/>
    <w:link w:val="Heading3Char"/>
    <w:uiPriority w:val="9"/>
    <w:unhideWhenUsed/>
    <w:qFormat/>
    <w:rsid w:val="00E01B51"/>
    <w:pPr>
      <w:jc w:val="both"/>
      <w:outlineLvl w:val="2"/>
    </w:pPr>
    <w:rPr>
      <w:rFonts w:ascii="Optima" w:hAnsi="Optima"/>
      <w:b/>
      <w:bCs/>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5498"/>
    <w:pPr>
      <w:ind w:left="720"/>
      <w:contextualSpacing/>
    </w:pPr>
  </w:style>
  <w:style w:type="table" w:styleId="TableGrid">
    <w:name w:val="Table Grid"/>
    <w:basedOn w:val="TableNormal"/>
    <w:uiPriority w:val="39"/>
    <w:rsid w:val="008920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E01B51"/>
    <w:rPr>
      <w:rFonts w:ascii="Optima" w:hAnsi="Optima"/>
      <w:b/>
      <w:bCs/>
      <w:sz w:val="21"/>
      <w:szCs w:val="21"/>
    </w:rPr>
  </w:style>
  <w:style w:type="paragraph" w:styleId="BodyText">
    <w:name w:val="Body Text"/>
    <w:basedOn w:val="Normal"/>
    <w:link w:val="BodyTextChar"/>
    <w:rsid w:val="0048269C"/>
    <w:pPr>
      <w:spacing w:after="120"/>
    </w:pPr>
    <w:rPr>
      <w:rFonts w:ascii="Times New Roman" w:eastAsia="Times New Roman" w:hAnsi="Times New Roman" w:cs="Times New Roman"/>
      <w:lang w:val="en-GB" w:eastAsia="cs-CZ"/>
    </w:rPr>
  </w:style>
  <w:style w:type="character" w:customStyle="1" w:styleId="BodyTextChar">
    <w:name w:val="Body Text Char"/>
    <w:basedOn w:val="DefaultParagraphFont"/>
    <w:link w:val="BodyText"/>
    <w:rsid w:val="0048269C"/>
    <w:rPr>
      <w:rFonts w:ascii="Times New Roman" w:eastAsia="Times New Roman" w:hAnsi="Times New Roman" w:cs="Times New Roman"/>
      <w:lang w:val="en-GB" w:eastAsia="cs-CZ"/>
    </w:rPr>
  </w:style>
  <w:style w:type="character" w:styleId="CommentReference">
    <w:name w:val="annotation reference"/>
    <w:semiHidden/>
    <w:rsid w:val="0048269C"/>
    <w:rPr>
      <w:sz w:val="18"/>
    </w:rPr>
  </w:style>
  <w:style w:type="paragraph" w:styleId="CommentText">
    <w:name w:val="annotation text"/>
    <w:basedOn w:val="Normal"/>
    <w:link w:val="CommentTextChar"/>
    <w:semiHidden/>
    <w:rsid w:val="0048269C"/>
    <w:rPr>
      <w:rFonts w:ascii="Times New Roman" w:eastAsia="Times New Roman" w:hAnsi="Times New Roman" w:cs="Times New Roman"/>
      <w:lang w:val="en-GB" w:eastAsia="cs-CZ"/>
    </w:rPr>
  </w:style>
  <w:style w:type="character" w:customStyle="1" w:styleId="CommentTextChar">
    <w:name w:val="Comment Text Char"/>
    <w:basedOn w:val="DefaultParagraphFont"/>
    <w:link w:val="CommentText"/>
    <w:semiHidden/>
    <w:rsid w:val="0048269C"/>
    <w:rPr>
      <w:rFonts w:ascii="Times New Roman" w:eastAsia="Times New Roman" w:hAnsi="Times New Roman" w:cs="Times New Roman"/>
      <w:lang w:val="en-GB" w:eastAsia="cs-CZ"/>
    </w:rPr>
  </w:style>
  <w:style w:type="character" w:customStyle="1" w:styleId="Heading1Char">
    <w:name w:val="Heading 1 Char"/>
    <w:basedOn w:val="DefaultParagraphFont"/>
    <w:link w:val="Heading1"/>
    <w:uiPriority w:val="9"/>
    <w:rsid w:val="00E01B51"/>
    <w:rPr>
      <w:rFonts w:ascii="Optima" w:hAnsi="Optima"/>
      <w:b/>
      <w:bCs/>
      <w:sz w:val="21"/>
      <w:szCs w:val="21"/>
    </w:rPr>
  </w:style>
  <w:style w:type="character" w:customStyle="1" w:styleId="Heading3Char">
    <w:name w:val="Heading 3 Char"/>
    <w:basedOn w:val="DefaultParagraphFont"/>
    <w:link w:val="Heading3"/>
    <w:uiPriority w:val="9"/>
    <w:rsid w:val="00E01B51"/>
    <w:rPr>
      <w:rFonts w:ascii="Optima" w:hAnsi="Optima"/>
      <w:b/>
      <w:bCs/>
      <w:i/>
      <w:iCs/>
      <w:sz w:val="21"/>
      <w:szCs w:val="21"/>
    </w:rPr>
  </w:style>
  <w:style w:type="character" w:styleId="Hyperlink">
    <w:name w:val="Hyperlink"/>
    <w:basedOn w:val="DefaultParagraphFont"/>
    <w:uiPriority w:val="99"/>
    <w:unhideWhenUsed/>
    <w:rsid w:val="00823AC6"/>
    <w:rPr>
      <w:color w:val="0563C1" w:themeColor="hyperlink"/>
      <w:u w:val="single"/>
    </w:rPr>
  </w:style>
  <w:style w:type="character" w:styleId="UnresolvedMention">
    <w:name w:val="Unresolved Mention"/>
    <w:basedOn w:val="DefaultParagraphFont"/>
    <w:uiPriority w:val="99"/>
    <w:semiHidden/>
    <w:unhideWhenUsed/>
    <w:rsid w:val="00823AC6"/>
    <w:rPr>
      <w:color w:val="605E5C"/>
      <w:shd w:val="clear" w:color="auto" w:fill="E1DFDD"/>
    </w:rPr>
  </w:style>
  <w:style w:type="paragraph" w:styleId="Caption">
    <w:name w:val="caption"/>
    <w:basedOn w:val="Normal"/>
    <w:next w:val="Normal"/>
    <w:uiPriority w:val="35"/>
    <w:unhideWhenUsed/>
    <w:qFormat/>
    <w:rsid w:val="0048675D"/>
    <w:pPr>
      <w:spacing w:after="200"/>
    </w:pPr>
    <w:rPr>
      <w:i/>
      <w:iCs/>
      <w:color w:val="44546A" w:themeColor="text2"/>
      <w:sz w:val="18"/>
      <w:szCs w:val="18"/>
    </w:rPr>
  </w:style>
  <w:style w:type="paragraph" w:styleId="Title">
    <w:name w:val="Title"/>
    <w:basedOn w:val="Normal"/>
    <w:next w:val="Normal"/>
    <w:link w:val="TitleChar"/>
    <w:uiPriority w:val="10"/>
    <w:qFormat/>
    <w:rsid w:val="00065F14"/>
    <w:pPr>
      <w:spacing w:line="480" w:lineRule="auto"/>
      <w:jc w:val="both"/>
    </w:pPr>
    <w:rPr>
      <w:rFonts w:ascii="Optima" w:hAnsi="Optima"/>
      <w:sz w:val="21"/>
    </w:rPr>
  </w:style>
  <w:style w:type="character" w:customStyle="1" w:styleId="TitleChar">
    <w:name w:val="Title Char"/>
    <w:basedOn w:val="DefaultParagraphFont"/>
    <w:link w:val="Title"/>
    <w:uiPriority w:val="10"/>
    <w:rsid w:val="00065F14"/>
    <w:rPr>
      <w:rFonts w:ascii="Optima" w:hAnsi="Optima"/>
      <w:sz w:val="21"/>
    </w:rPr>
  </w:style>
  <w:style w:type="paragraph" w:styleId="Header">
    <w:name w:val="header"/>
    <w:basedOn w:val="Normal"/>
    <w:link w:val="HeaderChar"/>
    <w:uiPriority w:val="99"/>
    <w:unhideWhenUsed/>
    <w:rsid w:val="00E0310C"/>
    <w:pPr>
      <w:tabs>
        <w:tab w:val="center" w:pos="4680"/>
        <w:tab w:val="right" w:pos="9360"/>
      </w:tabs>
    </w:pPr>
  </w:style>
  <w:style w:type="character" w:customStyle="1" w:styleId="HeaderChar">
    <w:name w:val="Header Char"/>
    <w:basedOn w:val="DefaultParagraphFont"/>
    <w:link w:val="Header"/>
    <w:uiPriority w:val="99"/>
    <w:rsid w:val="00E0310C"/>
  </w:style>
  <w:style w:type="paragraph" w:styleId="Footer">
    <w:name w:val="footer"/>
    <w:basedOn w:val="Normal"/>
    <w:link w:val="FooterChar"/>
    <w:uiPriority w:val="99"/>
    <w:unhideWhenUsed/>
    <w:rsid w:val="00E0310C"/>
    <w:pPr>
      <w:tabs>
        <w:tab w:val="center" w:pos="4680"/>
        <w:tab w:val="right" w:pos="9360"/>
      </w:tabs>
    </w:pPr>
  </w:style>
  <w:style w:type="character" w:customStyle="1" w:styleId="FooterChar">
    <w:name w:val="Footer Char"/>
    <w:basedOn w:val="DefaultParagraphFont"/>
    <w:link w:val="Footer"/>
    <w:uiPriority w:val="99"/>
    <w:rsid w:val="00E031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0643371">
      <w:bodyDiv w:val="1"/>
      <w:marLeft w:val="0"/>
      <w:marRight w:val="0"/>
      <w:marTop w:val="0"/>
      <w:marBottom w:val="0"/>
      <w:divBdr>
        <w:top w:val="none" w:sz="0" w:space="0" w:color="auto"/>
        <w:left w:val="none" w:sz="0" w:space="0" w:color="auto"/>
        <w:bottom w:val="none" w:sz="0" w:space="0" w:color="auto"/>
        <w:right w:val="none" w:sz="0" w:space="0" w:color="auto"/>
      </w:divBdr>
    </w:div>
    <w:div w:id="1436293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293</TotalTime>
  <Pages>6</Pages>
  <Words>1927</Words>
  <Characters>8326</Characters>
  <Application>Microsoft Office Word</Application>
  <DocSecurity>0</DocSecurity>
  <Lines>2775</Lines>
  <Paragraphs>2050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Naomi Becker</dc:creator>
  <cp:keywords/>
  <dc:description/>
  <cp:lastModifiedBy>Gina Harlow</cp:lastModifiedBy>
  <cp:revision>220</cp:revision>
  <dcterms:created xsi:type="dcterms:W3CDTF">2022-02-02T15:14:00Z</dcterms:created>
  <dcterms:modified xsi:type="dcterms:W3CDTF">2023-08-31T17:00:00Z</dcterms:modified>
</cp:coreProperties>
</file>