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2A635" w14:textId="77777777" w:rsidR="00347B3D" w:rsidRDefault="00347B3D" w:rsidP="00347B3D">
      <w:pPr>
        <w:outlineLvl w:val="0"/>
        <w:rPr>
          <w:rFonts w:ascii="Times New Roman" w:hAnsi="Times New Roman" w:cs="Times New Roman"/>
          <w:b/>
          <w:sz w:val="20"/>
          <w:szCs w:val="20"/>
        </w:rPr>
      </w:pPr>
      <w:r w:rsidRPr="001876D5">
        <w:rPr>
          <w:rFonts w:ascii="Times New Roman" w:hAnsi="Times New Roman" w:cs="Times New Roman"/>
          <w:b/>
          <w:sz w:val="20"/>
          <w:szCs w:val="20"/>
        </w:rPr>
        <w:t xml:space="preserve">NOTE:  </w:t>
      </w:r>
      <w:r w:rsidRPr="001876D5">
        <w:rPr>
          <w:rFonts w:ascii="Times New Roman" w:hAnsi="Times New Roman" w:cs="Times New Roman"/>
          <w:bCs/>
          <w:sz w:val="20"/>
          <w:szCs w:val="20"/>
        </w:rPr>
        <w:t>Any use of trade, firm, or product names is for descriptive purposes only and does not imply endorsement by the U.S. Government.</w:t>
      </w:r>
      <w:r>
        <w:rPr>
          <w:rFonts w:ascii="Times New Roman" w:hAnsi="Times New Roman" w:cs="Times New Roman"/>
          <w:b/>
          <w:sz w:val="20"/>
          <w:szCs w:val="20"/>
        </w:rPr>
        <w:t xml:space="preserve"> </w:t>
      </w:r>
    </w:p>
    <w:p w14:paraId="3AC83694" w14:textId="77777777" w:rsidR="00347B3D" w:rsidRDefault="00347B3D" w:rsidP="00347B3D"/>
    <w:p w14:paraId="12395805" w14:textId="78A70719" w:rsidR="00E506C5" w:rsidRPr="00C92475" w:rsidRDefault="00E506C5" w:rsidP="00E506C5">
      <w:pPr>
        <w:outlineLvl w:val="0"/>
        <w:rPr>
          <w:rFonts w:ascii="Times New Roman" w:hAnsi="Times New Roman" w:cs="Times New Roman"/>
          <w:sz w:val="20"/>
          <w:szCs w:val="20"/>
        </w:rPr>
      </w:pPr>
      <w:r w:rsidRPr="00C92475">
        <w:rPr>
          <w:rFonts w:ascii="Times New Roman" w:hAnsi="Times New Roman" w:cs="Times New Roman"/>
          <w:b/>
          <w:sz w:val="20"/>
          <w:szCs w:val="20"/>
        </w:rPr>
        <w:t xml:space="preserve">Description of </w:t>
      </w:r>
      <w:r w:rsidRPr="00C92475">
        <w:rPr>
          <w:rFonts w:ascii="Times New Roman" w:hAnsi="Times New Roman" w:cs="Times New Roman"/>
          <w:b/>
          <w:sz w:val="20"/>
          <w:szCs w:val="20"/>
          <w:vertAlign w:val="superscript"/>
        </w:rPr>
        <w:t>40</w:t>
      </w:r>
      <w:r w:rsidRPr="00C92475">
        <w:rPr>
          <w:rFonts w:ascii="Times New Roman" w:hAnsi="Times New Roman" w:cs="Times New Roman"/>
          <w:b/>
          <w:sz w:val="20"/>
          <w:szCs w:val="20"/>
        </w:rPr>
        <w:t>Ar/</w:t>
      </w:r>
      <w:r w:rsidRPr="00C92475">
        <w:rPr>
          <w:rFonts w:ascii="Times New Roman" w:hAnsi="Times New Roman" w:cs="Times New Roman"/>
          <w:b/>
          <w:sz w:val="20"/>
          <w:szCs w:val="20"/>
          <w:vertAlign w:val="superscript"/>
        </w:rPr>
        <w:t>39</w:t>
      </w:r>
      <w:r w:rsidRPr="00C92475">
        <w:rPr>
          <w:rFonts w:ascii="Times New Roman" w:hAnsi="Times New Roman" w:cs="Times New Roman"/>
          <w:b/>
          <w:sz w:val="20"/>
          <w:szCs w:val="20"/>
        </w:rPr>
        <w:t>Ar analytical methods</w:t>
      </w:r>
    </w:p>
    <w:p w14:paraId="3CF26A52" w14:textId="77777777" w:rsidR="00E506C5" w:rsidRPr="00C92475" w:rsidRDefault="00E506C5" w:rsidP="00E506C5">
      <w:pPr>
        <w:rPr>
          <w:rFonts w:ascii="Times New Roman" w:hAnsi="Times New Roman" w:cs="Times New Roman"/>
          <w:sz w:val="20"/>
          <w:szCs w:val="20"/>
        </w:rPr>
      </w:pPr>
    </w:p>
    <w:p w14:paraId="677F90C5" w14:textId="1F81A21B" w:rsidR="00D866BE" w:rsidRPr="00D00EF1" w:rsidRDefault="004F797B" w:rsidP="00C44A50">
      <w:pPr>
        <w:ind w:firstLine="720"/>
        <w:rPr>
          <w:rFonts w:ascii="Times New Roman" w:hAnsi="Times New Roman" w:cs="Times New Roman"/>
          <w:sz w:val="20"/>
          <w:szCs w:val="20"/>
        </w:rPr>
      </w:pPr>
      <w:r w:rsidRPr="00D00EF1">
        <w:rPr>
          <w:rFonts w:ascii="Times New Roman" w:hAnsi="Times New Roman" w:cs="Times New Roman"/>
          <w:sz w:val="20"/>
          <w:szCs w:val="20"/>
        </w:rPr>
        <w:t>Sample 201-SM025 was crushed, ultrasonicated, and sieved to 250 to 355 μm.</w:t>
      </w:r>
      <w:r w:rsidR="00D00EF1" w:rsidRPr="00D00EF1">
        <w:rPr>
          <w:rFonts w:ascii="Times New Roman" w:hAnsi="Times New Roman" w:cs="Times New Roman"/>
          <w:sz w:val="20"/>
          <w:szCs w:val="20"/>
        </w:rPr>
        <w:t xml:space="preserve"> Groundmass was separated from phenocryst phases using a LB-1 Barrier Frantz magnetic separator and careful handpicking under a binocular microscope. Sample 1912-SM167 was crushed, ultrasonicated, and sieved to 500 to 1000 μm. Sanidine grains were separated from groundmass and other phenocryst phases using </w:t>
      </w:r>
      <w:r w:rsidR="008C4134">
        <w:rPr>
          <w:rFonts w:ascii="Times New Roman" w:hAnsi="Times New Roman" w:cs="Times New Roman"/>
          <w:sz w:val="20"/>
          <w:szCs w:val="20"/>
        </w:rPr>
        <w:t xml:space="preserve">a </w:t>
      </w:r>
      <w:r w:rsidR="00D00EF1" w:rsidRPr="00D00EF1">
        <w:rPr>
          <w:rFonts w:ascii="Times New Roman" w:hAnsi="Times New Roman" w:cs="Times New Roman"/>
          <w:sz w:val="20"/>
          <w:szCs w:val="20"/>
        </w:rPr>
        <w:t xml:space="preserve">Frantz magnetic separator. Approximately 40 sanidine grains were hand-picked under a binocular microscope. Prior to irradiation, the sanidine crystals were leached using 8% HF to remove any adhering glass then rinsed thoroughly in deionized water. Sanidine grains were inspected under a binocular microscope after HF leaching to ensure no fluoride compounds were deposited on the grains. </w:t>
      </w:r>
      <w:r w:rsidR="00DE6BE3" w:rsidRPr="00D00EF1">
        <w:rPr>
          <w:rFonts w:ascii="Times New Roman" w:hAnsi="Times New Roman" w:cs="Times New Roman"/>
          <w:sz w:val="20"/>
          <w:szCs w:val="20"/>
        </w:rPr>
        <w:t xml:space="preserve">Sanidine from sample 1912-SM167 </w:t>
      </w:r>
      <w:r w:rsidR="009375E8" w:rsidRPr="00D00EF1">
        <w:rPr>
          <w:rFonts w:ascii="Times New Roman" w:hAnsi="Times New Roman" w:cs="Times New Roman"/>
          <w:sz w:val="20"/>
          <w:szCs w:val="20"/>
        </w:rPr>
        <w:t>and ~100 mg of groundmass from sample 201-SM025 were</w:t>
      </w:r>
      <w:r w:rsidR="00E506C5" w:rsidRPr="00D00EF1">
        <w:rPr>
          <w:rFonts w:ascii="Times New Roman" w:hAnsi="Times New Roman" w:cs="Times New Roman"/>
          <w:sz w:val="20"/>
          <w:szCs w:val="20"/>
        </w:rPr>
        <w:t xml:space="preserve"> packaged in Al foil along with Bodie Hills sanidine monitor minerals (</w:t>
      </w:r>
      <w:r w:rsidR="00D201DE" w:rsidRPr="00D00EF1">
        <w:rPr>
          <w:rFonts w:ascii="Times New Roman" w:hAnsi="Times New Roman" w:cs="Times New Roman"/>
          <w:sz w:val="20"/>
          <w:szCs w:val="20"/>
        </w:rPr>
        <w:t>9.79</w:t>
      </w:r>
      <w:r w:rsidR="00062F57" w:rsidRPr="00D00EF1">
        <w:rPr>
          <w:rFonts w:ascii="Times New Roman" w:hAnsi="Times New Roman" w:cs="Times New Roman"/>
          <w:sz w:val="20"/>
          <w:szCs w:val="20"/>
        </w:rPr>
        <w:t>46</w:t>
      </w:r>
      <w:r w:rsidR="00D201DE" w:rsidRPr="00D00EF1">
        <w:rPr>
          <w:rFonts w:ascii="Times New Roman" w:hAnsi="Times New Roman" w:cs="Times New Roman"/>
          <w:sz w:val="20"/>
          <w:szCs w:val="20"/>
        </w:rPr>
        <w:t xml:space="preserve"> ± 0.003</w:t>
      </w:r>
      <w:r w:rsidR="00062F57" w:rsidRPr="00D00EF1">
        <w:rPr>
          <w:rFonts w:ascii="Times New Roman" w:hAnsi="Times New Roman" w:cs="Times New Roman"/>
          <w:sz w:val="20"/>
          <w:szCs w:val="20"/>
        </w:rPr>
        <w:t>1</w:t>
      </w:r>
      <w:r w:rsidR="00D201DE" w:rsidRPr="00D00EF1">
        <w:rPr>
          <w:rFonts w:ascii="Times New Roman" w:hAnsi="Times New Roman" w:cs="Times New Roman"/>
          <w:sz w:val="20"/>
          <w:szCs w:val="20"/>
        </w:rPr>
        <w:t xml:space="preserve"> Ma</w:t>
      </w:r>
      <w:r w:rsidR="00597127" w:rsidRPr="00D00EF1">
        <w:rPr>
          <w:rFonts w:ascii="Times New Roman" w:hAnsi="Times New Roman" w:cs="Times New Roman"/>
          <w:sz w:val="20"/>
          <w:szCs w:val="20"/>
        </w:rPr>
        <w:t xml:space="preserve">; </w:t>
      </w:r>
      <w:r w:rsidR="00D201DE" w:rsidRPr="00D00EF1">
        <w:rPr>
          <w:rFonts w:ascii="Times New Roman" w:hAnsi="Times New Roman" w:cs="Times New Roman"/>
          <w:sz w:val="20"/>
          <w:szCs w:val="20"/>
        </w:rPr>
        <w:t xml:space="preserve">Fleck </w:t>
      </w:r>
      <w:r w:rsidR="00062F57" w:rsidRPr="00D00EF1">
        <w:rPr>
          <w:rFonts w:ascii="Times New Roman" w:hAnsi="Times New Roman" w:cs="Times New Roman"/>
          <w:sz w:val="20"/>
          <w:szCs w:val="20"/>
        </w:rPr>
        <w:t>et al., 2019</w:t>
      </w:r>
      <w:r w:rsidR="00E506C5" w:rsidRPr="00D00EF1">
        <w:rPr>
          <w:rFonts w:ascii="Times New Roman" w:hAnsi="Times New Roman" w:cs="Times New Roman"/>
          <w:sz w:val="20"/>
          <w:szCs w:val="20"/>
        </w:rPr>
        <w:t xml:space="preserve">) and encapsulated in quartz vials. The quartz vials were wrapped in 0.5 mm thick Cd foil to shield samples from thermal neutrons during irradiation. Sample </w:t>
      </w:r>
      <w:r w:rsidR="00E80212" w:rsidRPr="00D00EF1">
        <w:rPr>
          <w:rFonts w:ascii="Times New Roman" w:hAnsi="Times New Roman" w:cs="Times New Roman"/>
          <w:sz w:val="20"/>
          <w:szCs w:val="20"/>
        </w:rPr>
        <w:t xml:space="preserve">1912-SM167 was </w:t>
      </w:r>
      <w:r w:rsidR="00E506C5" w:rsidRPr="00D00EF1">
        <w:rPr>
          <w:rFonts w:ascii="Times New Roman" w:hAnsi="Times New Roman" w:cs="Times New Roman"/>
          <w:sz w:val="20"/>
          <w:szCs w:val="20"/>
        </w:rPr>
        <w:t xml:space="preserve">irradiated for </w:t>
      </w:r>
      <w:r w:rsidR="00E80212" w:rsidRPr="00D00EF1">
        <w:rPr>
          <w:rFonts w:ascii="Times New Roman" w:hAnsi="Times New Roman" w:cs="Times New Roman"/>
          <w:sz w:val="20"/>
          <w:szCs w:val="20"/>
        </w:rPr>
        <w:t>2 hours and sample 201-SM025 was irradiated for 1</w:t>
      </w:r>
      <w:r w:rsidR="00E506C5" w:rsidRPr="00D00EF1">
        <w:rPr>
          <w:rFonts w:ascii="Times New Roman" w:hAnsi="Times New Roman" w:cs="Times New Roman"/>
          <w:sz w:val="20"/>
          <w:szCs w:val="20"/>
        </w:rPr>
        <w:t xml:space="preserve"> hour in the central thimble of the U.S. Geological Survey TRIGA reactor in Denver, CO (Dalrymple et al., 1981) at a power level of 1 MW. </w:t>
      </w:r>
    </w:p>
    <w:p w14:paraId="6F8B5B10" w14:textId="668B84B8" w:rsidR="00D00EF1" w:rsidRDefault="00E506C5" w:rsidP="00C44A50">
      <w:pPr>
        <w:ind w:firstLine="720"/>
        <w:rPr>
          <w:rFonts w:ascii="Times New Roman" w:hAnsi="Times New Roman" w:cs="Times New Roman"/>
          <w:sz w:val="20"/>
          <w:szCs w:val="20"/>
        </w:rPr>
      </w:pPr>
      <w:r w:rsidRPr="00C92475">
        <w:rPr>
          <w:rFonts w:ascii="Times New Roman" w:hAnsi="Times New Roman" w:cs="Times New Roman"/>
          <w:color w:val="000000"/>
          <w:sz w:val="20"/>
          <w:szCs w:val="20"/>
        </w:rPr>
        <w:t>Following irradiation,</w:t>
      </w:r>
      <w:r w:rsidR="00D866BE">
        <w:rPr>
          <w:rFonts w:ascii="Times New Roman" w:hAnsi="Times New Roman" w:cs="Times New Roman"/>
          <w:color w:val="000000"/>
          <w:sz w:val="20"/>
          <w:szCs w:val="20"/>
        </w:rPr>
        <w:t xml:space="preserve"> monitor minerals </w:t>
      </w:r>
      <w:r w:rsidR="00EE58F2">
        <w:rPr>
          <w:rFonts w:ascii="Times New Roman" w:hAnsi="Times New Roman" w:cs="Times New Roman"/>
          <w:color w:val="000000"/>
          <w:sz w:val="20"/>
          <w:szCs w:val="20"/>
        </w:rPr>
        <w:t xml:space="preserve">and sanidine </w:t>
      </w:r>
      <w:r w:rsidR="00DE6BE3">
        <w:rPr>
          <w:rFonts w:ascii="Times New Roman" w:hAnsi="Times New Roman" w:cs="Times New Roman"/>
          <w:color w:val="000000"/>
          <w:sz w:val="20"/>
          <w:szCs w:val="20"/>
        </w:rPr>
        <w:t xml:space="preserve">from sample </w:t>
      </w:r>
      <w:r w:rsidR="00DE6BE3" w:rsidRPr="00DE6BE3">
        <w:rPr>
          <w:rFonts w:ascii="Times New Roman" w:hAnsi="Times New Roman" w:cs="Times New Roman"/>
          <w:color w:val="000000"/>
          <w:sz w:val="20"/>
          <w:szCs w:val="20"/>
        </w:rPr>
        <w:t>1912-SM167</w:t>
      </w:r>
      <w:r w:rsidR="00EE58F2">
        <w:rPr>
          <w:rFonts w:ascii="Times New Roman" w:hAnsi="Times New Roman" w:cs="Times New Roman"/>
          <w:color w:val="000000"/>
          <w:sz w:val="20"/>
          <w:szCs w:val="20"/>
        </w:rPr>
        <w:t xml:space="preserve"> </w:t>
      </w:r>
      <w:r w:rsidR="00D866BE">
        <w:rPr>
          <w:rFonts w:ascii="Times New Roman" w:hAnsi="Times New Roman" w:cs="Times New Roman"/>
          <w:color w:val="000000"/>
          <w:sz w:val="20"/>
          <w:szCs w:val="20"/>
        </w:rPr>
        <w:t xml:space="preserve">were analyzed by total fusion using a </w:t>
      </w:r>
      <w:r w:rsidR="008C4134">
        <w:rPr>
          <w:rFonts w:ascii="Times New Roman" w:hAnsi="Times New Roman" w:cs="Times New Roman"/>
          <w:color w:val="000000"/>
          <w:sz w:val="20"/>
          <w:szCs w:val="20"/>
        </w:rPr>
        <w:t xml:space="preserve">MIR10 </w:t>
      </w:r>
      <w:r w:rsidR="00D866BE">
        <w:rPr>
          <w:rFonts w:ascii="Times New Roman" w:hAnsi="Times New Roman" w:cs="Times New Roman"/>
          <w:color w:val="000000"/>
          <w:sz w:val="20"/>
          <w:szCs w:val="20"/>
        </w:rPr>
        <w:t>CO</w:t>
      </w:r>
      <w:r w:rsidR="00D866BE" w:rsidRPr="00D866BE">
        <w:rPr>
          <w:rFonts w:ascii="Times New Roman" w:hAnsi="Times New Roman" w:cs="Times New Roman"/>
          <w:color w:val="000000"/>
          <w:sz w:val="20"/>
          <w:szCs w:val="20"/>
          <w:vertAlign w:val="subscript"/>
        </w:rPr>
        <w:t>2</w:t>
      </w:r>
      <w:r w:rsidR="00D866BE">
        <w:rPr>
          <w:rFonts w:ascii="Times New Roman" w:hAnsi="Times New Roman" w:cs="Times New Roman"/>
          <w:color w:val="000000"/>
          <w:sz w:val="20"/>
          <w:szCs w:val="20"/>
        </w:rPr>
        <w:t xml:space="preserve"> laser </w:t>
      </w:r>
      <w:r w:rsidR="00597127">
        <w:rPr>
          <w:rFonts w:ascii="Times New Roman" w:hAnsi="Times New Roman" w:cs="Times New Roman"/>
          <w:color w:val="000000"/>
          <w:sz w:val="20"/>
          <w:szCs w:val="20"/>
        </w:rPr>
        <w:t>and</w:t>
      </w:r>
      <w:r w:rsidR="00D866BE">
        <w:rPr>
          <w:rFonts w:ascii="Times New Roman" w:hAnsi="Times New Roman" w:cs="Times New Roman"/>
          <w:color w:val="000000"/>
          <w:sz w:val="20"/>
          <w:szCs w:val="20"/>
        </w:rPr>
        <w:t xml:space="preserve"> </w:t>
      </w:r>
      <w:r w:rsidR="008C4134">
        <w:rPr>
          <w:rFonts w:ascii="Times New Roman" w:hAnsi="Times New Roman" w:cs="Times New Roman"/>
          <w:color w:val="000000"/>
          <w:sz w:val="20"/>
          <w:szCs w:val="20"/>
        </w:rPr>
        <w:t xml:space="preserve">a </w:t>
      </w:r>
      <w:r w:rsidR="00597127">
        <w:rPr>
          <w:rFonts w:ascii="Times New Roman" w:hAnsi="Times New Roman" w:cs="Times New Roman"/>
          <w:color w:val="000000"/>
          <w:sz w:val="20"/>
          <w:szCs w:val="20"/>
        </w:rPr>
        <w:t>NGX-600</w:t>
      </w:r>
      <w:r w:rsidR="00D866BE">
        <w:rPr>
          <w:rFonts w:ascii="Times New Roman" w:hAnsi="Times New Roman" w:cs="Times New Roman"/>
          <w:color w:val="000000"/>
          <w:sz w:val="20"/>
          <w:szCs w:val="20"/>
        </w:rPr>
        <w:t xml:space="preserve"> mass spectrometer</w:t>
      </w:r>
      <w:r w:rsidR="00597127">
        <w:rPr>
          <w:rFonts w:ascii="Times New Roman" w:hAnsi="Times New Roman" w:cs="Times New Roman"/>
          <w:color w:val="000000"/>
          <w:sz w:val="20"/>
          <w:szCs w:val="20"/>
        </w:rPr>
        <w:t xml:space="preserve"> </w:t>
      </w:r>
      <w:r w:rsidRPr="00C44A50">
        <w:rPr>
          <w:rFonts w:ascii="Times New Roman" w:hAnsi="Times New Roman" w:cs="Times New Roman"/>
          <w:color w:val="000000"/>
          <w:sz w:val="20"/>
          <w:szCs w:val="20"/>
        </w:rPr>
        <w:t xml:space="preserve">at the </w:t>
      </w:r>
      <w:r w:rsidR="00256D9B" w:rsidRPr="00C44A50">
        <w:rPr>
          <w:rFonts w:ascii="Times New Roman" w:hAnsi="Times New Roman" w:cs="Times New Roman"/>
          <w:color w:val="000000"/>
          <w:sz w:val="20"/>
          <w:szCs w:val="20"/>
        </w:rPr>
        <w:t>U.S. Geological Survey in Menlo Park, California</w:t>
      </w:r>
      <w:r w:rsidRPr="00C44A50">
        <w:rPr>
          <w:rFonts w:ascii="Times New Roman" w:hAnsi="Times New Roman" w:cs="Times New Roman"/>
          <w:color w:val="000000"/>
          <w:sz w:val="20"/>
          <w:szCs w:val="20"/>
        </w:rPr>
        <w:t>.</w:t>
      </w:r>
      <w:r w:rsidR="00D00EF1">
        <w:rPr>
          <w:rFonts w:ascii="Times New Roman" w:hAnsi="Times New Roman" w:cs="Times New Roman"/>
          <w:sz w:val="20"/>
          <w:szCs w:val="20"/>
        </w:rPr>
        <w:t xml:space="preserve"> </w:t>
      </w:r>
      <w:r w:rsidR="00D00EF1" w:rsidRPr="00D00EF1">
        <w:rPr>
          <w:rFonts w:ascii="Times New Roman" w:hAnsi="Times New Roman" w:cs="Times New Roman"/>
          <w:sz w:val="20"/>
          <w:szCs w:val="20"/>
        </w:rPr>
        <w:t>Groundmass samples were removed from their Al package and rewrapped in degassed Ta foil prior to analysis. For incremental heating analysis of</w:t>
      </w:r>
      <w:r w:rsidR="008C4134">
        <w:rPr>
          <w:rFonts w:ascii="Times New Roman" w:hAnsi="Times New Roman" w:cs="Times New Roman"/>
          <w:sz w:val="20"/>
          <w:szCs w:val="20"/>
        </w:rPr>
        <w:t xml:space="preserve"> the</w:t>
      </w:r>
      <w:r w:rsidR="00D00EF1" w:rsidRPr="00D00EF1">
        <w:rPr>
          <w:rFonts w:ascii="Times New Roman" w:hAnsi="Times New Roman" w:cs="Times New Roman"/>
          <w:sz w:val="20"/>
          <w:szCs w:val="20"/>
        </w:rPr>
        <w:t xml:space="preserve"> groundmass separate, the argon was extracted in discrete temperature steps using a diode laser attached to a</w:t>
      </w:r>
      <w:r w:rsidR="00FA57E1">
        <w:rPr>
          <w:rFonts w:ascii="Times New Roman" w:hAnsi="Times New Roman" w:cs="Times New Roman"/>
          <w:sz w:val="20"/>
          <w:szCs w:val="20"/>
        </w:rPr>
        <w:t>n</w:t>
      </w:r>
      <w:r w:rsidR="00D00EF1" w:rsidRPr="00D00EF1">
        <w:rPr>
          <w:rFonts w:ascii="Times New Roman" w:hAnsi="Times New Roman" w:cs="Times New Roman"/>
          <w:sz w:val="20"/>
          <w:szCs w:val="20"/>
        </w:rPr>
        <w:t xml:space="preserve"> Isotopx NGX-600 mass spectrometer. Temperatures were monitored using an optical pyrometer. Prior to measurement of Ar isotopic composition, </w:t>
      </w:r>
      <w:r w:rsidR="008C4134">
        <w:rPr>
          <w:rFonts w:ascii="Times New Roman" w:hAnsi="Times New Roman" w:cs="Times New Roman"/>
          <w:sz w:val="20"/>
          <w:szCs w:val="20"/>
        </w:rPr>
        <w:t xml:space="preserve">the </w:t>
      </w:r>
      <w:r w:rsidR="00D00EF1" w:rsidRPr="00D00EF1">
        <w:rPr>
          <w:rFonts w:ascii="Times New Roman" w:hAnsi="Times New Roman" w:cs="Times New Roman"/>
          <w:sz w:val="20"/>
          <w:szCs w:val="20"/>
        </w:rPr>
        <w:t xml:space="preserve">groundmass separate </w:t>
      </w:r>
      <w:r w:rsidR="008C4134">
        <w:rPr>
          <w:rFonts w:ascii="Times New Roman" w:hAnsi="Times New Roman" w:cs="Times New Roman"/>
          <w:sz w:val="20"/>
          <w:szCs w:val="20"/>
        </w:rPr>
        <w:t>was</w:t>
      </w:r>
      <w:r w:rsidR="00D00EF1" w:rsidRPr="00D00EF1">
        <w:rPr>
          <w:rFonts w:ascii="Times New Roman" w:hAnsi="Times New Roman" w:cs="Times New Roman"/>
          <w:sz w:val="20"/>
          <w:szCs w:val="20"/>
        </w:rPr>
        <w:t xml:space="preserve"> degassed at 400°C</w:t>
      </w:r>
      <w:r w:rsidR="00D00EF1">
        <w:rPr>
          <w:rFonts w:ascii="Times New Roman" w:hAnsi="Times New Roman" w:cs="Times New Roman"/>
          <w:sz w:val="20"/>
          <w:szCs w:val="20"/>
        </w:rPr>
        <w:t>.</w:t>
      </w:r>
    </w:p>
    <w:p w14:paraId="32ACD96E" w14:textId="7D0904EA" w:rsidR="00C21FAB" w:rsidRDefault="00597127" w:rsidP="00C44A50">
      <w:pPr>
        <w:ind w:firstLine="720"/>
        <w:rPr>
          <w:rFonts w:ascii="Times New Roman" w:hAnsi="Times New Roman" w:cs="Times New Roman"/>
          <w:color w:val="000000"/>
          <w:sz w:val="20"/>
          <w:szCs w:val="20"/>
        </w:rPr>
      </w:pPr>
      <w:r>
        <w:rPr>
          <w:rFonts w:ascii="Times New Roman" w:hAnsi="Times New Roman" w:cs="Times New Roman"/>
          <w:sz w:val="20"/>
          <w:szCs w:val="20"/>
        </w:rPr>
        <w:t xml:space="preserve">The U.S. Geological Survey NGX-600 mass spectrometer is a 10-collector instrument outfitted with nine </w:t>
      </w:r>
      <w:r w:rsidR="00EE58F2">
        <w:rPr>
          <w:rFonts w:ascii="Times New Roman" w:hAnsi="Times New Roman" w:cs="Times New Roman"/>
          <w:sz w:val="20"/>
          <w:szCs w:val="20"/>
        </w:rPr>
        <w:t>Faraday detectors and one electron multiplier, which allows for simultaneous measurement of all Ar isotopes</w:t>
      </w:r>
      <w:r w:rsidR="00DE6BE3">
        <w:rPr>
          <w:rFonts w:ascii="Times New Roman" w:hAnsi="Times New Roman" w:cs="Times New Roman"/>
          <w:sz w:val="20"/>
          <w:szCs w:val="20"/>
        </w:rPr>
        <w:t xml:space="preserve"> and half-mass baselines</w:t>
      </w:r>
      <w:r w:rsidR="00EE58F2">
        <w:rPr>
          <w:rFonts w:ascii="Times New Roman" w:hAnsi="Times New Roman" w:cs="Times New Roman"/>
          <w:sz w:val="20"/>
          <w:szCs w:val="20"/>
        </w:rPr>
        <w:t xml:space="preserve">. This system </w:t>
      </w:r>
      <w:r w:rsidR="00DE6BE3">
        <w:rPr>
          <w:rFonts w:ascii="Times New Roman" w:hAnsi="Times New Roman" w:cs="Times New Roman"/>
          <w:sz w:val="20"/>
          <w:szCs w:val="20"/>
        </w:rPr>
        <w:t>is fitted with</w:t>
      </w:r>
      <w:r w:rsidR="00EE58F2">
        <w:rPr>
          <w:rFonts w:ascii="Times New Roman" w:hAnsi="Times New Roman" w:cs="Times New Roman"/>
          <w:sz w:val="20"/>
          <w:szCs w:val="20"/>
        </w:rPr>
        <w:t xml:space="preserve"> an ATONA amplifier that </w:t>
      </w:r>
      <w:r w:rsidR="00DE6BE3">
        <w:rPr>
          <w:rFonts w:ascii="Times New Roman" w:hAnsi="Times New Roman" w:cs="Times New Roman"/>
          <w:sz w:val="20"/>
          <w:szCs w:val="20"/>
        </w:rPr>
        <w:t>significantly reduces amplifier noise and improves baseline and calibration stability, which</w:t>
      </w:r>
      <w:r w:rsidR="00EE58F2">
        <w:rPr>
          <w:rFonts w:ascii="Times New Roman" w:hAnsi="Times New Roman" w:cs="Times New Roman"/>
          <w:sz w:val="20"/>
          <w:szCs w:val="20"/>
        </w:rPr>
        <w:t xml:space="preserve"> allows for reproducible measurements of small quantities of Ar. Measurement of monitor minerals and unknown</w:t>
      </w:r>
      <w:r w:rsidR="00FA57E1">
        <w:rPr>
          <w:rFonts w:ascii="Times New Roman" w:hAnsi="Times New Roman" w:cs="Times New Roman"/>
          <w:sz w:val="20"/>
          <w:szCs w:val="20"/>
        </w:rPr>
        <w:t xml:space="preserve">s </w:t>
      </w:r>
      <w:r w:rsidR="00EE58F2">
        <w:rPr>
          <w:rFonts w:ascii="Times New Roman" w:hAnsi="Times New Roman" w:cs="Times New Roman"/>
          <w:sz w:val="20"/>
          <w:szCs w:val="20"/>
        </w:rPr>
        <w:t xml:space="preserve">were made using Faraday detectors for </w:t>
      </w:r>
      <w:r w:rsidR="00EE58F2" w:rsidRPr="00EE58F2">
        <w:rPr>
          <w:rFonts w:ascii="Times New Roman" w:hAnsi="Times New Roman" w:cs="Times New Roman"/>
          <w:sz w:val="20"/>
          <w:szCs w:val="20"/>
          <w:vertAlign w:val="superscript"/>
        </w:rPr>
        <w:t>40</w:t>
      </w:r>
      <w:r w:rsidR="00EE58F2">
        <w:rPr>
          <w:rFonts w:ascii="Times New Roman" w:hAnsi="Times New Roman" w:cs="Times New Roman"/>
          <w:sz w:val="20"/>
          <w:szCs w:val="20"/>
        </w:rPr>
        <w:t xml:space="preserve">Ar, </w:t>
      </w:r>
      <w:r w:rsidR="00EE58F2" w:rsidRPr="00EE58F2">
        <w:rPr>
          <w:rFonts w:ascii="Times New Roman" w:hAnsi="Times New Roman" w:cs="Times New Roman"/>
          <w:sz w:val="20"/>
          <w:szCs w:val="20"/>
          <w:vertAlign w:val="superscript"/>
        </w:rPr>
        <w:t>39</w:t>
      </w:r>
      <w:r w:rsidR="00EE58F2">
        <w:rPr>
          <w:rFonts w:ascii="Times New Roman" w:hAnsi="Times New Roman" w:cs="Times New Roman"/>
          <w:sz w:val="20"/>
          <w:szCs w:val="20"/>
        </w:rPr>
        <w:t xml:space="preserve">Ar, </w:t>
      </w:r>
      <w:r w:rsidR="00EE58F2" w:rsidRPr="00EE58F2">
        <w:rPr>
          <w:rFonts w:ascii="Times New Roman" w:hAnsi="Times New Roman" w:cs="Times New Roman"/>
          <w:sz w:val="20"/>
          <w:szCs w:val="20"/>
          <w:vertAlign w:val="superscript"/>
        </w:rPr>
        <w:t>38</w:t>
      </w:r>
      <w:r w:rsidR="00EE58F2">
        <w:rPr>
          <w:rFonts w:ascii="Times New Roman" w:hAnsi="Times New Roman" w:cs="Times New Roman"/>
          <w:sz w:val="20"/>
          <w:szCs w:val="20"/>
        </w:rPr>
        <w:t xml:space="preserve">Ar, and </w:t>
      </w:r>
      <w:r w:rsidR="00EE58F2" w:rsidRPr="00EE58F2">
        <w:rPr>
          <w:rFonts w:ascii="Times New Roman" w:hAnsi="Times New Roman" w:cs="Times New Roman"/>
          <w:sz w:val="20"/>
          <w:szCs w:val="20"/>
          <w:vertAlign w:val="superscript"/>
        </w:rPr>
        <w:t>37</w:t>
      </w:r>
      <w:r w:rsidR="00EE58F2">
        <w:rPr>
          <w:rFonts w:ascii="Times New Roman" w:hAnsi="Times New Roman" w:cs="Times New Roman"/>
          <w:sz w:val="20"/>
          <w:szCs w:val="20"/>
        </w:rPr>
        <w:t xml:space="preserve">Ar, whereas </w:t>
      </w:r>
      <w:r w:rsidR="00EE58F2" w:rsidRPr="00EE58F2">
        <w:rPr>
          <w:rFonts w:ascii="Times New Roman" w:hAnsi="Times New Roman" w:cs="Times New Roman"/>
          <w:sz w:val="20"/>
          <w:szCs w:val="20"/>
          <w:vertAlign w:val="superscript"/>
        </w:rPr>
        <w:t>36</w:t>
      </w:r>
      <w:r w:rsidR="00EE58F2">
        <w:rPr>
          <w:rFonts w:ascii="Times New Roman" w:hAnsi="Times New Roman" w:cs="Times New Roman"/>
          <w:sz w:val="20"/>
          <w:szCs w:val="20"/>
        </w:rPr>
        <w:t xml:space="preserve">Ar was measured on the electron multiplier. </w:t>
      </w:r>
      <w:r w:rsidR="00E506C5" w:rsidRPr="00C92475">
        <w:rPr>
          <w:rFonts w:ascii="Times New Roman" w:hAnsi="Times New Roman" w:cs="Times New Roman"/>
          <w:color w:val="000000"/>
          <w:sz w:val="20"/>
          <w:szCs w:val="20"/>
        </w:rPr>
        <w:t xml:space="preserve">For </w:t>
      </w:r>
      <w:r w:rsidR="009375E8">
        <w:rPr>
          <w:rFonts w:ascii="Times New Roman" w:hAnsi="Times New Roman" w:cs="Times New Roman"/>
          <w:color w:val="000000"/>
          <w:sz w:val="20"/>
          <w:szCs w:val="20"/>
        </w:rPr>
        <w:t>analysis of sanidine</w:t>
      </w:r>
      <w:r w:rsidR="00E506C5" w:rsidRPr="00C92475">
        <w:rPr>
          <w:rFonts w:ascii="Times New Roman" w:hAnsi="Times New Roman" w:cs="Times New Roman"/>
          <w:color w:val="000000"/>
          <w:sz w:val="20"/>
          <w:szCs w:val="20"/>
        </w:rPr>
        <w:t>, extracted Ar was exposed to a</w:t>
      </w:r>
      <w:r w:rsidR="009375E8">
        <w:rPr>
          <w:rFonts w:ascii="Times New Roman" w:hAnsi="Times New Roman" w:cs="Times New Roman"/>
          <w:color w:val="000000"/>
          <w:sz w:val="20"/>
          <w:szCs w:val="20"/>
        </w:rPr>
        <w:t xml:space="preserve"> </w:t>
      </w:r>
      <w:r w:rsidR="00E506C5" w:rsidRPr="00C92475">
        <w:rPr>
          <w:rFonts w:ascii="Times New Roman" w:hAnsi="Times New Roman" w:cs="Times New Roman"/>
          <w:color w:val="000000"/>
          <w:sz w:val="20"/>
          <w:szCs w:val="20"/>
        </w:rPr>
        <w:t>12</w:t>
      </w:r>
      <w:r w:rsidR="00256D9B" w:rsidRPr="00C92475">
        <w:rPr>
          <w:rFonts w:ascii="Times New Roman" w:hAnsi="Times New Roman" w:cs="Times New Roman"/>
          <w:color w:val="000000"/>
          <w:sz w:val="20"/>
          <w:szCs w:val="20"/>
        </w:rPr>
        <w:t>5</w:t>
      </w:r>
      <w:r w:rsidR="00E506C5" w:rsidRPr="00C92475">
        <w:rPr>
          <w:rFonts w:ascii="Times New Roman" w:hAnsi="Times New Roman" w:cs="Times New Roman"/>
          <w:color w:val="000000"/>
          <w:sz w:val="20"/>
          <w:szCs w:val="20"/>
        </w:rPr>
        <w:t>K cold finger and two SAES ST-175 getters (one operated at 300</w:t>
      </w:r>
      <w:r w:rsidR="00E506C5" w:rsidRPr="00C92475">
        <w:rPr>
          <w:rFonts w:ascii="Times New Roman" w:hAnsi="Times New Roman" w:cs="Times New Roman"/>
          <w:color w:val="000000"/>
          <w:sz w:val="20"/>
          <w:szCs w:val="20"/>
          <w:vertAlign w:val="superscript"/>
        </w:rPr>
        <w:t>o</w:t>
      </w:r>
      <w:r w:rsidR="00E506C5" w:rsidRPr="00C92475">
        <w:rPr>
          <w:rFonts w:ascii="Times New Roman" w:hAnsi="Times New Roman" w:cs="Times New Roman"/>
          <w:color w:val="000000"/>
          <w:sz w:val="20"/>
          <w:szCs w:val="20"/>
        </w:rPr>
        <w:t>C and one at room temperature) to remove active gasses.</w:t>
      </w:r>
      <w:r w:rsidR="009375E8">
        <w:rPr>
          <w:rFonts w:ascii="Times New Roman" w:hAnsi="Times New Roman" w:cs="Times New Roman"/>
          <w:color w:val="000000"/>
          <w:sz w:val="20"/>
          <w:szCs w:val="20"/>
        </w:rPr>
        <w:t xml:space="preserve"> </w:t>
      </w:r>
      <w:r w:rsidR="009375E8" w:rsidRPr="00C92475">
        <w:rPr>
          <w:rFonts w:ascii="Times New Roman" w:hAnsi="Times New Roman" w:cs="Times New Roman"/>
          <w:color w:val="000000"/>
          <w:sz w:val="20"/>
          <w:szCs w:val="20"/>
        </w:rPr>
        <w:t xml:space="preserve">For </w:t>
      </w:r>
      <w:r w:rsidR="009375E8">
        <w:rPr>
          <w:rFonts w:ascii="Times New Roman" w:hAnsi="Times New Roman" w:cs="Times New Roman"/>
          <w:color w:val="000000"/>
          <w:sz w:val="20"/>
          <w:szCs w:val="20"/>
        </w:rPr>
        <w:t>analysis of groundmass,</w:t>
      </w:r>
      <w:r w:rsidR="009375E8" w:rsidRPr="00C92475">
        <w:rPr>
          <w:rFonts w:ascii="Times New Roman" w:hAnsi="Times New Roman" w:cs="Times New Roman"/>
          <w:color w:val="000000"/>
          <w:sz w:val="20"/>
          <w:szCs w:val="20"/>
        </w:rPr>
        <w:t xml:space="preserve"> extracted Ar was exposed to a</w:t>
      </w:r>
      <w:r w:rsidR="009375E8">
        <w:rPr>
          <w:rFonts w:ascii="Times New Roman" w:hAnsi="Times New Roman" w:cs="Times New Roman"/>
          <w:color w:val="000000"/>
          <w:sz w:val="20"/>
          <w:szCs w:val="20"/>
        </w:rPr>
        <w:t xml:space="preserve"> </w:t>
      </w:r>
      <w:r w:rsidR="009375E8" w:rsidRPr="00C92475">
        <w:rPr>
          <w:rFonts w:ascii="Times New Roman" w:hAnsi="Times New Roman" w:cs="Times New Roman"/>
          <w:color w:val="000000"/>
          <w:sz w:val="20"/>
          <w:szCs w:val="20"/>
        </w:rPr>
        <w:t>125K cold finger</w:t>
      </w:r>
      <w:r w:rsidR="009375E8">
        <w:rPr>
          <w:rFonts w:ascii="Times New Roman" w:hAnsi="Times New Roman" w:cs="Times New Roman"/>
          <w:color w:val="000000"/>
          <w:sz w:val="20"/>
          <w:szCs w:val="20"/>
        </w:rPr>
        <w:t xml:space="preserve">, </w:t>
      </w:r>
      <w:r w:rsidR="009375E8" w:rsidRPr="00C92475">
        <w:rPr>
          <w:rFonts w:ascii="Times New Roman" w:hAnsi="Times New Roman" w:cs="Times New Roman"/>
          <w:color w:val="000000"/>
          <w:sz w:val="20"/>
          <w:szCs w:val="20"/>
        </w:rPr>
        <w:t>two SAES ST-175 getters (</w:t>
      </w:r>
      <w:r w:rsidR="009375E8">
        <w:rPr>
          <w:rFonts w:ascii="Times New Roman" w:hAnsi="Times New Roman" w:cs="Times New Roman"/>
          <w:color w:val="000000"/>
          <w:sz w:val="20"/>
          <w:szCs w:val="20"/>
        </w:rPr>
        <w:t>both</w:t>
      </w:r>
      <w:r w:rsidR="009375E8" w:rsidRPr="00C92475">
        <w:rPr>
          <w:rFonts w:ascii="Times New Roman" w:hAnsi="Times New Roman" w:cs="Times New Roman"/>
          <w:color w:val="000000"/>
          <w:sz w:val="20"/>
          <w:szCs w:val="20"/>
        </w:rPr>
        <w:t xml:space="preserve"> operated at 300</w:t>
      </w:r>
      <w:r w:rsidR="009375E8" w:rsidRPr="00C92475">
        <w:rPr>
          <w:rFonts w:ascii="Times New Roman" w:hAnsi="Times New Roman" w:cs="Times New Roman"/>
          <w:color w:val="000000"/>
          <w:sz w:val="20"/>
          <w:szCs w:val="20"/>
          <w:vertAlign w:val="superscript"/>
        </w:rPr>
        <w:t>o</w:t>
      </w:r>
      <w:r w:rsidR="009375E8" w:rsidRPr="00C92475">
        <w:rPr>
          <w:rFonts w:ascii="Times New Roman" w:hAnsi="Times New Roman" w:cs="Times New Roman"/>
          <w:color w:val="000000"/>
          <w:sz w:val="20"/>
          <w:szCs w:val="20"/>
        </w:rPr>
        <w:t>C)</w:t>
      </w:r>
      <w:r w:rsidR="009375E8">
        <w:rPr>
          <w:rFonts w:ascii="Times New Roman" w:hAnsi="Times New Roman" w:cs="Times New Roman"/>
          <w:color w:val="000000"/>
          <w:sz w:val="20"/>
          <w:szCs w:val="20"/>
        </w:rPr>
        <w:t>, and a SAES Z-100 getter t</w:t>
      </w:r>
      <w:r w:rsidR="009375E8" w:rsidRPr="00C92475">
        <w:rPr>
          <w:rFonts w:ascii="Times New Roman" w:hAnsi="Times New Roman" w:cs="Times New Roman"/>
          <w:color w:val="000000"/>
          <w:sz w:val="20"/>
          <w:szCs w:val="20"/>
        </w:rPr>
        <w:t>o remove active gasses</w:t>
      </w:r>
      <w:r w:rsidR="009375E8">
        <w:rPr>
          <w:rFonts w:ascii="Times New Roman" w:hAnsi="Times New Roman" w:cs="Times New Roman"/>
          <w:color w:val="000000"/>
          <w:sz w:val="20"/>
          <w:szCs w:val="20"/>
        </w:rPr>
        <w:t xml:space="preserve">. </w:t>
      </w:r>
      <w:r w:rsidR="00EE58F2" w:rsidRPr="00C92475">
        <w:rPr>
          <w:rFonts w:ascii="Times New Roman" w:hAnsi="Times New Roman" w:cs="Times New Roman"/>
          <w:color w:val="000000"/>
          <w:sz w:val="20"/>
          <w:szCs w:val="20"/>
        </w:rPr>
        <w:t xml:space="preserve">Instrumental mass discrimination was calculated by repeated measurement of atmospheric argon, assuming </w:t>
      </w:r>
      <w:r w:rsidR="00EE58F2" w:rsidRPr="00C92475">
        <w:rPr>
          <w:rFonts w:ascii="Times New Roman" w:hAnsi="Times New Roman" w:cs="Times New Roman"/>
          <w:color w:val="000000"/>
          <w:sz w:val="20"/>
          <w:szCs w:val="20"/>
          <w:vertAlign w:val="superscript"/>
        </w:rPr>
        <w:t>40</w:t>
      </w:r>
      <w:r w:rsidR="00EE58F2" w:rsidRPr="00C92475">
        <w:rPr>
          <w:rFonts w:ascii="Times New Roman" w:hAnsi="Times New Roman" w:cs="Times New Roman"/>
          <w:color w:val="000000"/>
          <w:sz w:val="20"/>
          <w:szCs w:val="20"/>
        </w:rPr>
        <w:t>Ar/</w:t>
      </w:r>
      <w:r w:rsidR="00EE58F2" w:rsidRPr="00C92475">
        <w:rPr>
          <w:rFonts w:ascii="Times New Roman" w:hAnsi="Times New Roman" w:cs="Times New Roman"/>
          <w:color w:val="000000"/>
          <w:sz w:val="20"/>
          <w:szCs w:val="20"/>
          <w:vertAlign w:val="superscript"/>
        </w:rPr>
        <w:t>36</w:t>
      </w:r>
      <w:r w:rsidR="00EE58F2" w:rsidRPr="00C92475">
        <w:rPr>
          <w:rFonts w:ascii="Times New Roman" w:hAnsi="Times New Roman" w:cs="Times New Roman"/>
          <w:color w:val="000000"/>
          <w:sz w:val="20"/>
          <w:szCs w:val="20"/>
        </w:rPr>
        <w:t>Ar</w:t>
      </w:r>
      <w:r w:rsidR="00EE58F2" w:rsidRPr="00C92475">
        <w:rPr>
          <w:rFonts w:ascii="Times New Roman" w:hAnsi="Times New Roman" w:cs="Times New Roman"/>
          <w:color w:val="000000"/>
          <w:sz w:val="20"/>
          <w:szCs w:val="20"/>
          <w:vertAlign w:val="subscript"/>
        </w:rPr>
        <w:t>atmosphere</w:t>
      </w:r>
      <w:r w:rsidR="00EE58F2" w:rsidRPr="00C92475">
        <w:rPr>
          <w:rFonts w:ascii="Times New Roman" w:hAnsi="Times New Roman" w:cs="Times New Roman"/>
          <w:color w:val="000000"/>
          <w:sz w:val="20"/>
          <w:szCs w:val="20"/>
        </w:rPr>
        <w:t xml:space="preserve"> = 298.56 ± 0.31 (Lee et al., 2006). </w:t>
      </w:r>
      <w:r w:rsidR="00EE58F2">
        <w:rPr>
          <w:rFonts w:ascii="Times New Roman" w:hAnsi="Times New Roman" w:cs="Times New Roman"/>
          <w:color w:val="000000"/>
          <w:sz w:val="20"/>
          <w:szCs w:val="20"/>
        </w:rPr>
        <w:t xml:space="preserve">Intercalibration of Faraday detectors with the electron multiplier was </w:t>
      </w:r>
      <w:r w:rsidR="00FA57E1">
        <w:rPr>
          <w:rFonts w:ascii="Times New Roman" w:hAnsi="Times New Roman" w:cs="Times New Roman"/>
          <w:color w:val="000000"/>
          <w:sz w:val="20"/>
          <w:szCs w:val="20"/>
        </w:rPr>
        <w:t xml:space="preserve">also </w:t>
      </w:r>
      <w:r w:rsidR="00EE58F2">
        <w:rPr>
          <w:rFonts w:ascii="Times New Roman" w:hAnsi="Times New Roman" w:cs="Times New Roman"/>
          <w:color w:val="000000"/>
          <w:sz w:val="20"/>
          <w:szCs w:val="20"/>
        </w:rPr>
        <w:t xml:space="preserve">performed using </w:t>
      </w:r>
      <w:r w:rsidR="00FA57E1">
        <w:rPr>
          <w:rFonts w:ascii="Times New Roman" w:hAnsi="Times New Roman" w:cs="Times New Roman"/>
          <w:color w:val="000000"/>
          <w:sz w:val="20"/>
          <w:szCs w:val="20"/>
        </w:rPr>
        <w:t>atmospheric argon</w:t>
      </w:r>
      <w:r w:rsidR="00EE58F2">
        <w:rPr>
          <w:rFonts w:ascii="Times New Roman" w:hAnsi="Times New Roman" w:cs="Times New Roman"/>
          <w:color w:val="000000"/>
          <w:sz w:val="20"/>
          <w:szCs w:val="20"/>
        </w:rPr>
        <w:t xml:space="preserve">. </w:t>
      </w:r>
      <w:r w:rsidR="00256D9B" w:rsidRPr="00C92475">
        <w:rPr>
          <w:rFonts w:ascii="Times New Roman" w:hAnsi="Times New Roman" w:cs="Times New Roman"/>
          <w:color w:val="000000"/>
          <w:sz w:val="20"/>
          <w:szCs w:val="20"/>
          <w:vertAlign w:val="superscript"/>
        </w:rPr>
        <w:t>40</w:t>
      </w:r>
      <w:r w:rsidR="00256D9B" w:rsidRPr="00C92475">
        <w:rPr>
          <w:rFonts w:ascii="Times New Roman" w:hAnsi="Times New Roman" w:cs="Times New Roman"/>
          <w:color w:val="000000"/>
          <w:sz w:val="20"/>
          <w:szCs w:val="20"/>
        </w:rPr>
        <w:t>Ar/</w:t>
      </w:r>
      <w:r w:rsidR="00256D9B" w:rsidRPr="00C92475">
        <w:rPr>
          <w:rFonts w:ascii="Times New Roman" w:hAnsi="Times New Roman" w:cs="Times New Roman"/>
          <w:color w:val="000000"/>
          <w:sz w:val="20"/>
          <w:szCs w:val="20"/>
          <w:vertAlign w:val="superscript"/>
        </w:rPr>
        <w:t>39</w:t>
      </w:r>
      <w:r w:rsidR="00256D9B" w:rsidRPr="00C92475">
        <w:rPr>
          <w:rFonts w:ascii="Times New Roman" w:hAnsi="Times New Roman" w:cs="Times New Roman"/>
          <w:color w:val="000000"/>
          <w:sz w:val="20"/>
          <w:szCs w:val="20"/>
        </w:rPr>
        <w:t xml:space="preserve">Ar ages are calculated using the decay constants recommended by Steiger and Jäger (1977). </w:t>
      </w:r>
      <w:r w:rsidR="00E506C5" w:rsidRPr="00C92475">
        <w:rPr>
          <w:rFonts w:ascii="Times New Roman" w:hAnsi="Times New Roman" w:cs="Times New Roman"/>
          <w:color w:val="000000"/>
          <w:sz w:val="20"/>
          <w:szCs w:val="20"/>
        </w:rPr>
        <w:t xml:space="preserve">Uncertainties in reported </w:t>
      </w:r>
      <w:r w:rsidR="00E506C5" w:rsidRPr="00C92475">
        <w:rPr>
          <w:rFonts w:ascii="Times New Roman" w:hAnsi="Times New Roman" w:cs="Times New Roman"/>
          <w:color w:val="000000"/>
          <w:sz w:val="20"/>
          <w:szCs w:val="20"/>
          <w:vertAlign w:val="superscript"/>
        </w:rPr>
        <w:t>40</w:t>
      </w:r>
      <w:r w:rsidR="00E506C5" w:rsidRPr="00C92475">
        <w:rPr>
          <w:rFonts w:ascii="Times New Roman" w:hAnsi="Times New Roman" w:cs="Times New Roman"/>
          <w:color w:val="000000"/>
          <w:sz w:val="20"/>
          <w:szCs w:val="20"/>
        </w:rPr>
        <w:t>Ar/</w:t>
      </w:r>
      <w:r w:rsidR="00E506C5" w:rsidRPr="00C92475">
        <w:rPr>
          <w:rFonts w:ascii="Times New Roman" w:hAnsi="Times New Roman" w:cs="Times New Roman"/>
          <w:color w:val="000000"/>
          <w:sz w:val="20"/>
          <w:szCs w:val="20"/>
          <w:vertAlign w:val="superscript"/>
        </w:rPr>
        <w:t>39</w:t>
      </w:r>
      <w:r w:rsidR="00E506C5" w:rsidRPr="00C92475">
        <w:rPr>
          <w:rFonts w:ascii="Times New Roman" w:hAnsi="Times New Roman" w:cs="Times New Roman"/>
          <w:color w:val="000000"/>
          <w:sz w:val="20"/>
          <w:szCs w:val="20"/>
        </w:rPr>
        <w:t xml:space="preserve">Ar ages include propagated uncertainties in counting statistics and J values. </w:t>
      </w:r>
    </w:p>
    <w:p w14:paraId="5E0E8535" w14:textId="1045F733" w:rsidR="00915C2B" w:rsidRDefault="00915C2B" w:rsidP="00C44A50">
      <w:pPr>
        <w:ind w:firstLine="720"/>
        <w:rPr>
          <w:rFonts w:ascii="Times New Roman" w:hAnsi="Times New Roman" w:cs="Times New Roman"/>
          <w:color w:val="000000"/>
          <w:sz w:val="20"/>
          <w:szCs w:val="20"/>
        </w:rPr>
      </w:pPr>
    </w:p>
    <w:p w14:paraId="2F37EE9D" w14:textId="7B67DD9E" w:rsidR="00915C2B" w:rsidRPr="00C92475" w:rsidRDefault="00915C2B" w:rsidP="00915C2B">
      <w:pPr>
        <w:outlineLvl w:val="0"/>
        <w:rPr>
          <w:rFonts w:ascii="Times New Roman" w:hAnsi="Times New Roman" w:cs="Times New Roman"/>
          <w:sz w:val="20"/>
          <w:szCs w:val="20"/>
        </w:rPr>
      </w:pPr>
      <w:r w:rsidRPr="00C92475">
        <w:rPr>
          <w:rFonts w:ascii="Times New Roman" w:hAnsi="Times New Roman" w:cs="Times New Roman"/>
          <w:b/>
          <w:sz w:val="20"/>
          <w:szCs w:val="20"/>
        </w:rPr>
        <w:t>Description of</w:t>
      </w:r>
      <w:r>
        <w:rPr>
          <w:rFonts w:ascii="Times New Roman" w:hAnsi="Times New Roman" w:cs="Times New Roman"/>
          <w:b/>
          <w:sz w:val="20"/>
          <w:szCs w:val="20"/>
        </w:rPr>
        <w:t xml:space="preserve"> calcite U/Pb</w:t>
      </w:r>
      <w:r w:rsidR="008A3E85">
        <w:rPr>
          <w:rFonts w:ascii="Times New Roman" w:hAnsi="Times New Roman" w:cs="Times New Roman"/>
          <w:b/>
          <w:sz w:val="20"/>
          <w:szCs w:val="20"/>
        </w:rPr>
        <w:t xml:space="preserve"> </w:t>
      </w:r>
      <w:r w:rsidRPr="00C92475">
        <w:rPr>
          <w:rFonts w:ascii="Times New Roman" w:hAnsi="Times New Roman" w:cs="Times New Roman"/>
          <w:b/>
          <w:sz w:val="20"/>
          <w:szCs w:val="20"/>
        </w:rPr>
        <w:t>analytical methods</w:t>
      </w:r>
    </w:p>
    <w:p w14:paraId="67291C84" w14:textId="77777777" w:rsidR="00915C2B" w:rsidRDefault="00915C2B" w:rsidP="00C44A50">
      <w:pPr>
        <w:ind w:firstLine="720"/>
        <w:rPr>
          <w:rFonts w:ascii="Times New Roman" w:hAnsi="Times New Roman" w:cs="Times New Roman"/>
          <w:color w:val="000000"/>
          <w:sz w:val="20"/>
          <w:szCs w:val="20"/>
        </w:rPr>
      </w:pPr>
    </w:p>
    <w:p w14:paraId="58E0E224" w14:textId="04E87A11" w:rsidR="00915C2B" w:rsidRPr="00C92475" w:rsidRDefault="00915C2B" w:rsidP="00C44A50">
      <w:pPr>
        <w:ind w:firstLine="720"/>
        <w:rPr>
          <w:rFonts w:ascii="Times New Roman" w:hAnsi="Times New Roman" w:cs="Times New Roman"/>
          <w:color w:val="000000"/>
          <w:sz w:val="20"/>
          <w:szCs w:val="20"/>
        </w:rPr>
      </w:pPr>
      <w:r w:rsidRPr="00915C2B">
        <w:rPr>
          <w:rFonts w:ascii="Times New Roman" w:hAnsi="Times New Roman" w:cs="Times New Roman"/>
          <w:color w:val="000000"/>
          <w:sz w:val="20"/>
          <w:szCs w:val="20"/>
        </w:rPr>
        <w:t xml:space="preserve">Faults in the study area are commonly coated with synkinematic calcite, and we use laser ablation inductively-coupled mass spectrometry (LA-ICP-MS) U-Pb geochronology to determine the timing of this mineralization. Oriented samples collected from fault surfaces were cut into thin (30 µm) or thick (120 µm) sections and analyzed in-situ to preserve textural context. Using a petrographic microscope we identified textural generations of calcite, crosscutting relations between calcite growth and brittle deformation, and microscopic slip sense indicators. Analyses were performed at the UTChron laboratory at the University of Texas at Austin using a 110 µm laser spot size and the NIST 614 glass standard (Jochum et al., 2011) for Pb isotope normalization and calcite standard WC-1 (Roberts et al., 2017) for U-Pb normalization. Some ablation spots exhibited down-hole isotopic differences and are presented with multiple integrations (Supplementary dataset </w:t>
      </w:r>
      <w:r w:rsidR="00347B3D">
        <w:rPr>
          <w:rFonts w:ascii="Times New Roman" w:hAnsi="Times New Roman" w:cs="Times New Roman"/>
          <w:color w:val="000000"/>
          <w:sz w:val="20"/>
          <w:szCs w:val="20"/>
        </w:rPr>
        <w:t>3</w:t>
      </w:r>
      <w:r w:rsidRPr="00915C2B">
        <w:rPr>
          <w:rFonts w:ascii="Times New Roman" w:hAnsi="Times New Roman" w:cs="Times New Roman"/>
          <w:color w:val="000000"/>
          <w:sz w:val="20"/>
          <w:szCs w:val="20"/>
        </w:rPr>
        <w:t xml:space="preserve">; analyses with duplicate spot numbers indicate multiple integrations from the same analytical spot). Analyses are filtered for &lt;1 </w:t>
      </w:r>
      <w:r w:rsidRPr="00915C2B">
        <w:rPr>
          <w:rFonts w:ascii="Times New Roman" w:hAnsi="Times New Roman" w:cs="Times New Roman"/>
          <w:color w:val="000000"/>
          <w:sz w:val="20"/>
          <w:szCs w:val="20"/>
          <w:vertAlign w:val="superscript"/>
        </w:rPr>
        <w:t>207</w:t>
      </w:r>
      <w:r w:rsidRPr="00915C2B">
        <w:rPr>
          <w:rFonts w:ascii="Times New Roman" w:hAnsi="Times New Roman" w:cs="Times New Roman"/>
          <w:color w:val="000000"/>
          <w:sz w:val="20"/>
          <w:szCs w:val="20"/>
        </w:rPr>
        <w:t>Pb/</w:t>
      </w:r>
      <w:r w:rsidRPr="00915C2B">
        <w:rPr>
          <w:rFonts w:ascii="Times New Roman" w:hAnsi="Times New Roman" w:cs="Times New Roman"/>
          <w:color w:val="000000"/>
          <w:sz w:val="20"/>
          <w:szCs w:val="20"/>
          <w:vertAlign w:val="superscript"/>
        </w:rPr>
        <w:t>206</w:t>
      </w:r>
      <w:r w:rsidRPr="00915C2B">
        <w:rPr>
          <w:rFonts w:ascii="Times New Roman" w:hAnsi="Times New Roman" w:cs="Times New Roman"/>
          <w:color w:val="000000"/>
          <w:sz w:val="20"/>
          <w:szCs w:val="20"/>
        </w:rPr>
        <w:t xml:space="preserve">Pb and &lt;0.2 </w:t>
      </w:r>
      <w:r w:rsidRPr="00915C2B">
        <w:rPr>
          <w:rFonts w:ascii="Times New Roman" w:hAnsi="Times New Roman" w:cs="Times New Roman"/>
          <w:color w:val="000000"/>
          <w:sz w:val="20"/>
          <w:szCs w:val="20"/>
          <w:vertAlign w:val="superscript"/>
        </w:rPr>
        <w:t>207</w:t>
      </w:r>
      <w:r w:rsidRPr="00915C2B">
        <w:rPr>
          <w:rFonts w:ascii="Times New Roman" w:hAnsi="Times New Roman" w:cs="Times New Roman"/>
          <w:color w:val="000000"/>
          <w:sz w:val="20"/>
          <w:szCs w:val="20"/>
        </w:rPr>
        <w:t>Pb/</w:t>
      </w:r>
      <w:r w:rsidRPr="00915C2B">
        <w:rPr>
          <w:rFonts w:ascii="Times New Roman" w:hAnsi="Times New Roman" w:cs="Times New Roman"/>
          <w:color w:val="000000"/>
          <w:sz w:val="20"/>
          <w:szCs w:val="20"/>
          <w:vertAlign w:val="superscript"/>
        </w:rPr>
        <w:t>206</w:t>
      </w:r>
      <w:r w:rsidRPr="00915C2B">
        <w:rPr>
          <w:rFonts w:ascii="Times New Roman" w:hAnsi="Times New Roman" w:cs="Times New Roman"/>
          <w:color w:val="000000"/>
          <w:sz w:val="20"/>
          <w:szCs w:val="20"/>
        </w:rPr>
        <w:t>Pb 2σ error, which removes high-uncertainty analyses that may have ablated phases other than calcite. Dates are calculated from a Tera-Wasserburg discordia lower intercept and reported with 2σ uncertainty.</w:t>
      </w:r>
    </w:p>
    <w:p w14:paraId="2C1E2422" w14:textId="5B45308E" w:rsidR="00E506C5" w:rsidRPr="00C92475" w:rsidRDefault="00E506C5" w:rsidP="00E506C5">
      <w:pPr>
        <w:rPr>
          <w:rFonts w:ascii="Times New Roman" w:hAnsi="Times New Roman" w:cs="Times New Roman"/>
          <w:color w:val="000000"/>
          <w:sz w:val="20"/>
          <w:szCs w:val="20"/>
        </w:rPr>
      </w:pPr>
    </w:p>
    <w:p w14:paraId="0864A3B6" w14:textId="5B153BDA" w:rsidR="00C92475" w:rsidRPr="00C92475" w:rsidRDefault="00C92475" w:rsidP="00E506C5">
      <w:pPr>
        <w:rPr>
          <w:rFonts w:ascii="Times New Roman" w:hAnsi="Times New Roman" w:cs="Times New Roman"/>
          <w:color w:val="000000"/>
          <w:sz w:val="20"/>
          <w:szCs w:val="20"/>
        </w:rPr>
      </w:pPr>
    </w:p>
    <w:p w14:paraId="32837C3D" w14:textId="0B7A2199" w:rsidR="00915C2B" w:rsidRPr="00C92475" w:rsidRDefault="00915C2B" w:rsidP="00915C2B">
      <w:pPr>
        <w:outlineLvl w:val="0"/>
        <w:rPr>
          <w:rFonts w:ascii="Times New Roman" w:hAnsi="Times New Roman" w:cs="Times New Roman"/>
          <w:sz w:val="20"/>
          <w:szCs w:val="20"/>
        </w:rPr>
      </w:pPr>
      <w:r>
        <w:rPr>
          <w:rFonts w:ascii="Times New Roman" w:hAnsi="Times New Roman" w:cs="Times New Roman"/>
          <w:b/>
          <w:sz w:val="20"/>
          <w:szCs w:val="20"/>
        </w:rPr>
        <w:t>References Cited</w:t>
      </w:r>
    </w:p>
    <w:p w14:paraId="7447A455" w14:textId="77777777" w:rsidR="001E2058" w:rsidRDefault="001E2058" w:rsidP="001E2058">
      <w:pPr>
        <w:pStyle w:val="NormalWeb"/>
        <w:ind w:left="475" w:hanging="475"/>
        <w:contextualSpacing/>
        <w:rPr>
          <w:sz w:val="20"/>
          <w:szCs w:val="20"/>
        </w:rPr>
      </w:pPr>
      <w:r w:rsidRPr="001E2058">
        <w:rPr>
          <w:sz w:val="20"/>
          <w:szCs w:val="20"/>
        </w:rPr>
        <w:t xml:space="preserve">Dalrymple GB, Alexander EC, Lanphere MA, Kraker GP (1981) Irradiation of samples for </w:t>
      </w:r>
      <w:r w:rsidRPr="001E2058">
        <w:rPr>
          <w:sz w:val="20"/>
          <w:szCs w:val="20"/>
          <w:vertAlign w:val="superscript"/>
        </w:rPr>
        <w:t>40</w:t>
      </w:r>
      <w:r w:rsidRPr="001E2058">
        <w:rPr>
          <w:sz w:val="20"/>
          <w:szCs w:val="20"/>
        </w:rPr>
        <w:t>Ar/</w:t>
      </w:r>
      <w:r w:rsidRPr="001E2058">
        <w:rPr>
          <w:sz w:val="20"/>
          <w:szCs w:val="20"/>
          <w:vertAlign w:val="superscript"/>
        </w:rPr>
        <w:t>39</w:t>
      </w:r>
      <w:r w:rsidRPr="001E2058">
        <w:rPr>
          <w:sz w:val="20"/>
          <w:szCs w:val="20"/>
        </w:rPr>
        <w:t>Ar dating using the Geological Survey TRIGA reactor. U S Geol Surv Prof Pap 1176:55. doi:10.3133/pp1176</w:t>
      </w:r>
    </w:p>
    <w:p w14:paraId="07C400C4" w14:textId="77777777" w:rsidR="00915C2B" w:rsidRDefault="00915C2B" w:rsidP="00C92475">
      <w:pPr>
        <w:pStyle w:val="NormalWeb"/>
        <w:ind w:left="475" w:hanging="475"/>
        <w:contextualSpacing/>
        <w:rPr>
          <w:sz w:val="20"/>
          <w:szCs w:val="20"/>
        </w:rPr>
      </w:pPr>
      <w:r w:rsidRPr="00915C2B">
        <w:rPr>
          <w:sz w:val="20"/>
          <w:szCs w:val="20"/>
        </w:rPr>
        <w:t>Fleck, R.J., Calvert, A.T., Coble, M.A., Wooden, J.L., Hodges, K., Hayden, L.A., van Soest, M.C., du Bray, E.A., and John, D.A., 2019, Characterization of the rhyolite of Bodie Hills and 40Ar/39Ar intercalibration with Ar mineral standards: Chemical Geology, v. 525, doi:10.1016/j.chemgeo.2019.07.022.</w:t>
      </w:r>
    </w:p>
    <w:p w14:paraId="7FC03690" w14:textId="6AC87D64" w:rsidR="00C92475" w:rsidRPr="00C92475" w:rsidRDefault="00915C2B" w:rsidP="00C92475">
      <w:pPr>
        <w:pStyle w:val="NormalWeb"/>
        <w:ind w:left="475" w:hanging="475"/>
        <w:contextualSpacing/>
        <w:rPr>
          <w:sz w:val="20"/>
          <w:szCs w:val="20"/>
        </w:rPr>
      </w:pPr>
      <w:r w:rsidRPr="00915C2B">
        <w:rPr>
          <w:sz w:val="20"/>
          <w:szCs w:val="20"/>
        </w:rPr>
        <w:t>Jochum, K.P. et al., 2011, Determination of Reference Values for NIST SRM 610–617 Glasses Following ISO Guidelines: Geostandards and Geoanalytical Research, v. 35, p. 397–429, doi:https://doi.org/10.1111/j.1751-908X.2011.00120.x.</w:t>
      </w:r>
      <w:r w:rsidR="00C92475" w:rsidRPr="00C92475">
        <w:rPr>
          <w:sz w:val="20"/>
          <w:szCs w:val="20"/>
        </w:rPr>
        <w:t>Lee JY, Marti K, Severinghaus JP, et al (2006) A redetermination of the isotopic abundances of atmospheric Ar. Geochim Cosmochim Acta 70:4507–4512. doi:10.1016/j.gca.2006.06.1563</w:t>
      </w:r>
    </w:p>
    <w:p w14:paraId="4C9C02AE" w14:textId="77777777" w:rsidR="00915C2B" w:rsidRDefault="00915C2B" w:rsidP="00C92475">
      <w:pPr>
        <w:pStyle w:val="NormalWeb"/>
        <w:ind w:left="475" w:hanging="475"/>
        <w:contextualSpacing/>
        <w:rPr>
          <w:sz w:val="20"/>
          <w:szCs w:val="20"/>
        </w:rPr>
      </w:pPr>
      <w:r w:rsidRPr="00915C2B">
        <w:rPr>
          <w:sz w:val="20"/>
          <w:szCs w:val="20"/>
        </w:rPr>
        <w:t>Lee, J.Y., Marti, K., Severinghaus, J.P., Kawamura, K., Yoo, H.S., Lee, J.B., and Kim, J.S., 2006, A redetermination of the isotopic abundances of atmospheric Ar: Geochimica et Cosmochimica Acta, v. 70, p. 4507–4512, doi:10.1016/J.GCA.2006.06.1563.</w:t>
      </w:r>
    </w:p>
    <w:p w14:paraId="20CC8B38" w14:textId="031B6270" w:rsidR="00915C2B" w:rsidRDefault="00915C2B" w:rsidP="00C92475">
      <w:pPr>
        <w:pStyle w:val="NormalWeb"/>
        <w:ind w:left="475" w:hanging="475"/>
        <w:contextualSpacing/>
        <w:rPr>
          <w:sz w:val="20"/>
          <w:szCs w:val="20"/>
        </w:rPr>
      </w:pPr>
      <w:r w:rsidRPr="00915C2B">
        <w:rPr>
          <w:sz w:val="20"/>
          <w:szCs w:val="20"/>
        </w:rPr>
        <w:t>Roberts, N.M.W., Rasbury, E.T., Parrish, R.R., Smith, C.J., Horstwood, M.S.A., and Condon, D.J., 2017, A calcite reference material for LA-ICP-MS U-Pb geochronology: Geochemistry, Geophysics, Geosystems, v. 18, p. 2807–2814, doi:10.1002/2016GC006784.</w:t>
      </w:r>
    </w:p>
    <w:p w14:paraId="5C615F32" w14:textId="493448A5" w:rsidR="00915C2B" w:rsidRDefault="00915C2B" w:rsidP="00C92475">
      <w:pPr>
        <w:pStyle w:val="NormalWeb"/>
        <w:ind w:left="475" w:hanging="475"/>
        <w:contextualSpacing/>
        <w:rPr>
          <w:sz w:val="20"/>
          <w:szCs w:val="20"/>
        </w:rPr>
      </w:pPr>
      <w:r w:rsidRPr="00915C2B">
        <w:rPr>
          <w:sz w:val="20"/>
          <w:szCs w:val="20"/>
        </w:rPr>
        <w:t>Steiger, R.H., and Jäger, E., 1977, Subcommission on geochronology: Convention on the use of decay constants in geo- and cosmochronology: Earth and Planetary Science Letters, v. 36, p. 359–362, doi:10.1016/0012-821X(77)90060-7.</w:t>
      </w:r>
    </w:p>
    <w:p w14:paraId="64963D0A" w14:textId="77777777" w:rsidR="00C92475" w:rsidRPr="00C92475" w:rsidRDefault="00C92475" w:rsidP="00C92475">
      <w:pPr>
        <w:pStyle w:val="NormalWeb"/>
        <w:ind w:left="480" w:hanging="480"/>
        <w:rPr>
          <w:sz w:val="20"/>
          <w:szCs w:val="20"/>
        </w:rPr>
      </w:pPr>
    </w:p>
    <w:p w14:paraId="1B5CF7A8" w14:textId="77777777" w:rsidR="00E506C5" w:rsidRPr="00C92475" w:rsidRDefault="00E506C5" w:rsidP="00E506C5">
      <w:pPr>
        <w:rPr>
          <w:rFonts w:ascii="Times New Roman" w:hAnsi="Times New Roman" w:cs="Times New Roman"/>
          <w:sz w:val="20"/>
          <w:szCs w:val="20"/>
        </w:rPr>
      </w:pPr>
    </w:p>
    <w:sectPr w:rsidR="00E506C5" w:rsidRPr="00C92475" w:rsidSect="002C3C0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FF9FB" w14:textId="77777777" w:rsidR="00103D34" w:rsidRDefault="00103D34" w:rsidP="00103D34">
      <w:r>
        <w:separator/>
      </w:r>
    </w:p>
  </w:endnote>
  <w:endnote w:type="continuationSeparator" w:id="0">
    <w:p w14:paraId="7A25F5DF" w14:textId="77777777" w:rsidR="00103D34" w:rsidRDefault="00103D34" w:rsidP="00103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AB124" w14:textId="77777777" w:rsidR="00103D34" w:rsidRDefault="00103D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0CE73" w14:textId="77777777" w:rsidR="00103D34" w:rsidRDefault="00103D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92C71" w14:textId="77777777" w:rsidR="00103D34" w:rsidRDefault="00103D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1EAB7" w14:textId="77777777" w:rsidR="00103D34" w:rsidRDefault="00103D34" w:rsidP="00103D34">
      <w:r>
        <w:separator/>
      </w:r>
    </w:p>
  </w:footnote>
  <w:footnote w:type="continuationSeparator" w:id="0">
    <w:p w14:paraId="2CB5AE59" w14:textId="77777777" w:rsidR="00103D34" w:rsidRDefault="00103D34" w:rsidP="00103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8DEDF" w14:textId="77777777" w:rsidR="00103D34" w:rsidRDefault="00103D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55C8E" w14:textId="55D5E85C" w:rsidR="00103D34" w:rsidRDefault="00103D34">
    <w:pPr>
      <w:pStyle w:val="Header"/>
    </w:pPr>
    <w:r w:rsidRPr="00A42D19">
      <w:t>Mavor, S.P., Bennett, S.E.K., Crow, R.S., Singleton, J.S., Langenheim, V., Stockli, D., Stelten, M., Brickey, T.A., Sr., Umhoefer, P.J., and Beard, L.S., 2023, Evolution of Miocene normal and dextral faulting in the lower Colorado River region near Blythe, California, USA: Geosphere, v. 19, https://doi.org/10.1130/GES02608.1.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C62EA" w14:textId="77777777" w:rsidR="00103D34" w:rsidRDefault="00103D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6C5"/>
    <w:rsid w:val="00010305"/>
    <w:rsid w:val="00062F57"/>
    <w:rsid w:val="00103D34"/>
    <w:rsid w:val="001E2058"/>
    <w:rsid w:val="00256D9B"/>
    <w:rsid w:val="00280855"/>
    <w:rsid w:val="00291FEF"/>
    <w:rsid w:val="002A3621"/>
    <w:rsid w:val="002C3C0B"/>
    <w:rsid w:val="00347B3D"/>
    <w:rsid w:val="00394C3B"/>
    <w:rsid w:val="00427FD8"/>
    <w:rsid w:val="004F797B"/>
    <w:rsid w:val="00597127"/>
    <w:rsid w:val="00630F21"/>
    <w:rsid w:val="006F032D"/>
    <w:rsid w:val="008A3E85"/>
    <w:rsid w:val="008C4134"/>
    <w:rsid w:val="00915C2B"/>
    <w:rsid w:val="009375E8"/>
    <w:rsid w:val="00B76D42"/>
    <w:rsid w:val="00BA37C7"/>
    <w:rsid w:val="00C44A50"/>
    <w:rsid w:val="00C92475"/>
    <w:rsid w:val="00D00EF1"/>
    <w:rsid w:val="00D201DE"/>
    <w:rsid w:val="00D866BE"/>
    <w:rsid w:val="00DE6BE3"/>
    <w:rsid w:val="00E506C5"/>
    <w:rsid w:val="00E80212"/>
    <w:rsid w:val="00EE58F2"/>
    <w:rsid w:val="00FA57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4D4ED"/>
  <w14:defaultImageDpi w14:val="32767"/>
  <w15:chartTrackingRefBased/>
  <w15:docId w15:val="{EFE53CEE-2E71-0045-A943-0AD09BD33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506C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506C5"/>
    <w:rPr>
      <w:sz w:val="16"/>
      <w:szCs w:val="16"/>
    </w:rPr>
  </w:style>
  <w:style w:type="paragraph" w:styleId="CommentText">
    <w:name w:val="annotation text"/>
    <w:basedOn w:val="Normal"/>
    <w:link w:val="CommentTextChar"/>
    <w:uiPriority w:val="99"/>
    <w:semiHidden/>
    <w:unhideWhenUsed/>
    <w:rsid w:val="00E506C5"/>
    <w:rPr>
      <w:sz w:val="20"/>
      <w:szCs w:val="20"/>
    </w:rPr>
  </w:style>
  <w:style w:type="character" w:customStyle="1" w:styleId="CommentTextChar">
    <w:name w:val="Comment Text Char"/>
    <w:basedOn w:val="DefaultParagraphFont"/>
    <w:link w:val="CommentText"/>
    <w:uiPriority w:val="99"/>
    <w:semiHidden/>
    <w:rsid w:val="00E506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E506C5"/>
    <w:rPr>
      <w:b/>
      <w:bCs/>
    </w:rPr>
  </w:style>
  <w:style w:type="character" w:customStyle="1" w:styleId="CommentSubjectChar">
    <w:name w:val="Comment Subject Char"/>
    <w:basedOn w:val="CommentTextChar"/>
    <w:link w:val="CommentSubject"/>
    <w:uiPriority w:val="99"/>
    <w:semiHidden/>
    <w:rsid w:val="00E506C5"/>
    <w:rPr>
      <w:rFonts w:eastAsiaTheme="minorEastAsia"/>
      <w:b/>
      <w:bCs/>
      <w:sz w:val="20"/>
      <w:szCs w:val="20"/>
    </w:rPr>
  </w:style>
  <w:style w:type="paragraph" w:styleId="BalloonText">
    <w:name w:val="Balloon Text"/>
    <w:basedOn w:val="Normal"/>
    <w:link w:val="BalloonTextChar"/>
    <w:uiPriority w:val="99"/>
    <w:semiHidden/>
    <w:unhideWhenUsed/>
    <w:rsid w:val="00E506C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506C5"/>
    <w:rPr>
      <w:rFonts w:ascii="Times New Roman" w:eastAsiaTheme="minorEastAsia" w:hAnsi="Times New Roman" w:cs="Times New Roman"/>
      <w:sz w:val="18"/>
      <w:szCs w:val="18"/>
    </w:rPr>
  </w:style>
  <w:style w:type="paragraph" w:styleId="NormalWeb">
    <w:name w:val="Normal (Web)"/>
    <w:basedOn w:val="Normal"/>
    <w:uiPriority w:val="99"/>
    <w:unhideWhenUsed/>
    <w:rsid w:val="00C92475"/>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103D34"/>
    <w:pPr>
      <w:tabs>
        <w:tab w:val="center" w:pos="4680"/>
        <w:tab w:val="right" w:pos="9360"/>
      </w:tabs>
    </w:pPr>
  </w:style>
  <w:style w:type="character" w:customStyle="1" w:styleId="HeaderChar">
    <w:name w:val="Header Char"/>
    <w:basedOn w:val="DefaultParagraphFont"/>
    <w:link w:val="Header"/>
    <w:uiPriority w:val="99"/>
    <w:rsid w:val="00103D34"/>
    <w:rPr>
      <w:rFonts w:eastAsiaTheme="minorEastAsia"/>
    </w:rPr>
  </w:style>
  <w:style w:type="paragraph" w:styleId="Footer">
    <w:name w:val="footer"/>
    <w:basedOn w:val="Normal"/>
    <w:link w:val="FooterChar"/>
    <w:uiPriority w:val="99"/>
    <w:unhideWhenUsed/>
    <w:rsid w:val="00103D34"/>
    <w:pPr>
      <w:tabs>
        <w:tab w:val="center" w:pos="4680"/>
        <w:tab w:val="right" w:pos="9360"/>
      </w:tabs>
    </w:pPr>
  </w:style>
  <w:style w:type="character" w:customStyle="1" w:styleId="FooterChar">
    <w:name w:val="Footer Char"/>
    <w:basedOn w:val="DefaultParagraphFont"/>
    <w:link w:val="Footer"/>
    <w:uiPriority w:val="99"/>
    <w:rsid w:val="00103D34"/>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86085">
      <w:bodyDiv w:val="1"/>
      <w:marLeft w:val="0"/>
      <w:marRight w:val="0"/>
      <w:marTop w:val="0"/>
      <w:marBottom w:val="0"/>
      <w:divBdr>
        <w:top w:val="none" w:sz="0" w:space="0" w:color="auto"/>
        <w:left w:val="none" w:sz="0" w:space="0" w:color="auto"/>
        <w:bottom w:val="none" w:sz="0" w:space="0" w:color="auto"/>
        <w:right w:val="none" w:sz="0" w:space="0" w:color="auto"/>
      </w:divBdr>
    </w:div>
    <w:div w:id="237833544">
      <w:bodyDiv w:val="1"/>
      <w:marLeft w:val="0"/>
      <w:marRight w:val="0"/>
      <w:marTop w:val="0"/>
      <w:marBottom w:val="0"/>
      <w:divBdr>
        <w:top w:val="none" w:sz="0" w:space="0" w:color="auto"/>
        <w:left w:val="none" w:sz="0" w:space="0" w:color="auto"/>
        <w:bottom w:val="none" w:sz="0" w:space="0" w:color="auto"/>
        <w:right w:val="none" w:sz="0" w:space="0" w:color="auto"/>
      </w:divBdr>
    </w:div>
    <w:div w:id="413824001">
      <w:bodyDiv w:val="1"/>
      <w:marLeft w:val="0"/>
      <w:marRight w:val="0"/>
      <w:marTop w:val="0"/>
      <w:marBottom w:val="0"/>
      <w:divBdr>
        <w:top w:val="none" w:sz="0" w:space="0" w:color="auto"/>
        <w:left w:val="none" w:sz="0" w:space="0" w:color="auto"/>
        <w:bottom w:val="none" w:sz="0" w:space="0" w:color="auto"/>
        <w:right w:val="none" w:sz="0" w:space="0" w:color="auto"/>
      </w:divBdr>
    </w:div>
    <w:div w:id="438331196">
      <w:bodyDiv w:val="1"/>
      <w:marLeft w:val="0"/>
      <w:marRight w:val="0"/>
      <w:marTop w:val="0"/>
      <w:marBottom w:val="0"/>
      <w:divBdr>
        <w:top w:val="none" w:sz="0" w:space="0" w:color="auto"/>
        <w:left w:val="none" w:sz="0" w:space="0" w:color="auto"/>
        <w:bottom w:val="none" w:sz="0" w:space="0" w:color="auto"/>
        <w:right w:val="none" w:sz="0" w:space="0" w:color="auto"/>
      </w:divBdr>
    </w:div>
    <w:div w:id="814375009">
      <w:bodyDiv w:val="1"/>
      <w:marLeft w:val="0"/>
      <w:marRight w:val="0"/>
      <w:marTop w:val="0"/>
      <w:marBottom w:val="0"/>
      <w:divBdr>
        <w:top w:val="none" w:sz="0" w:space="0" w:color="auto"/>
        <w:left w:val="none" w:sz="0" w:space="0" w:color="auto"/>
        <w:bottom w:val="none" w:sz="0" w:space="0" w:color="auto"/>
        <w:right w:val="none" w:sz="0" w:space="0" w:color="auto"/>
      </w:divBdr>
    </w:div>
    <w:div w:id="1607805431">
      <w:bodyDiv w:val="1"/>
      <w:marLeft w:val="0"/>
      <w:marRight w:val="0"/>
      <w:marTop w:val="0"/>
      <w:marBottom w:val="0"/>
      <w:divBdr>
        <w:top w:val="none" w:sz="0" w:space="0" w:color="auto"/>
        <w:left w:val="none" w:sz="0" w:space="0" w:color="auto"/>
        <w:bottom w:val="none" w:sz="0" w:space="0" w:color="auto"/>
        <w:right w:val="none" w:sz="0" w:space="0" w:color="auto"/>
      </w:divBdr>
    </w:div>
    <w:div w:id="1777630553">
      <w:bodyDiv w:val="1"/>
      <w:marLeft w:val="0"/>
      <w:marRight w:val="0"/>
      <w:marTop w:val="0"/>
      <w:marBottom w:val="0"/>
      <w:divBdr>
        <w:top w:val="none" w:sz="0" w:space="0" w:color="auto"/>
        <w:left w:val="none" w:sz="0" w:space="0" w:color="auto"/>
        <w:bottom w:val="none" w:sz="0" w:space="0" w:color="auto"/>
        <w:right w:val="none" w:sz="0" w:space="0" w:color="auto"/>
      </w:divBdr>
    </w:div>
    <w:div w:id="1982152481">
      <w:bodyDiv w:val="1"/>
      <w:marLeft w:val="0"/>
      <w:marRight w:val="0"/>
      <w:marTop w:val="0"/>
      <w:marBottom w:val="0"/>
      <w:divBdr>
        <w:top w:val="none" w:sz="0" w:space="0" w:color="auto"/>
        <w:left w:val="none" w:sz="0" w:space="0" w:color="auto"/>
        <w:bottom w:val="none" w:sz="0" w:space="0" w:color="auto"/>
        <w:right w:val="none" w:sz="0" w:space="0" w:color="auto"/>
      </w:divBdr>
    </w:div>
    <w:div w:id="205988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993</Words>
  <Characters>5664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U.S. Geological Survey</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Stelten</dc:creator>
  <cp:keywords/>
  <dc:description/>
  <cp:lastModifiedBy>Gina Harlow</cp:lastModifiedBy>
  <cp:revision>3</cp:revision>
  <dcterms:created xsi:type="dcterms:W3CDTF">2023-04-11T18:22:00Z</dcterms:created>
  <dcterms:modified xsi:type="dcterms:W3CDTF">2023-06-28T17:15:00Z</dcterms:modified>
</cp:coreProperties>
</file>