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AE87DF" w14:textId="77777777" w:rsidR="005E2AFC" w:rsidRPr="00D1323A" w:rsidRDefault="005E2AFC" w:rsidP="005E2AFC">
      <w:pPr>
        <w:jc w:val="center"/>
        <w:rPr>
          <w:rFonts w:asciiTheme="majorHAnsi" w:hAnsiTheme="majorHAnsi"/>
          <w:b/>
        </w:rPr>
      </w:pPr>
      <w:r w:rsidRPr="00D1323A">
        <w:rPr>
          <w:rFonts w:asciiTheme="majorHAnsi" w:hAnsiTheme="majorHAnsi"/>
          <w:b/>
        </w:rPr>
        <w:t>Detailed Methods for Tephrochronology and Geochronology</w:t>
      </w:r>
    </w:p>
    <w:p w14:paraId="649F2298" w14:textId="77777777" w:rsidR="005E2AFC" w:rsidRPr="00D1323A" w:rsidRDefault="005E2AFC" w:rsidP="005E2AFC">
      <w:pPr>
        <w:jc w:val="center"/>
        <w:rPr>
          <w:rFonts w:asciiTheme="majorHAnsi" w:hAnsiTheme="majorHAnsi"/>
          <w:b/>
        </w:rPr>
      </w:pPr>
      <w:r w:rsidRPr="00D1323A">
        <w:rPr>
          <w:rFonts w:asciiTheme="majorHAnsi" w:hAnsiTheme="majorHAnsi"/>
          <w:b/>
        </w:rPr>
        <w:t>at the New Mexico Institute of Mining and Technology</w:t>
      </w:r>
    </w:p>
    <w:p w14:paraId="25A9ED63" w14:textId="77777777" w:rsidR="003557FC" w:rsidRPr="00D1323A" w:rsidRDefault="003557FC" w:rsidP="003557FC">
      <w:pPr>
        <w:ind w:firstLine="720"/>
        <w:rPr>
          <w:rFonts w:asciiTheme="majorHAnsi" w:hAnsiTheme="majorHAnsi"/>
          <w:b/>
        </w:rPr>
      </w:pPr>
    </w:p>
    <w:p w14:paraId="7420284F" w14:textId="056C4544" w:rsidR="003557FC" w:rsidRPr="00D1323A" w:rsidRDefault="003557FC" w:rsidP="003557FC">
      <w:pPr>
        <w:tabs>
          <w:tab w:val="left" w:pos="810"/>
        </w:tabs>
        <w:rPr>
          <w:rFonts w:asciiTheme="majorHAnsi" w:hAnsiTheme="majorHAnsi"/>
          <w:b/>
        </w:rPr>
      </w:pPr>
      <w:r w:rsidRPr="00D1323A">
        <w:rPr>
          <w:rFonts w:asciiTheme="majorHAnsi" w:hAnsiTheme="majorHAnsi"/>
          <w:b/>
        </w:rPr>
        <w:t>Tephrochronology</w:t>
      </w:r>
    </w:p>
    <w:p w14:paraId="3D9E5440" w14:textId="77777777" w:rsidR="003557FC" w:rsidRPr="00D1323A" w:rsidRDefault="003557FC" w:rsidP="003557FC">
      <w:pPr>
        <w:ind w:firstLine="720"/>
        <w:rPr>
          <w:rFonts w:asciiTheme="majorHAnsi" w:hAnsiTheme="majorHAnsi"/>
          <w:b/>
        </w:rPr>
      </w:pPr>
    </w:p>
    <w:p w14:paraId="1C625B14" w14:textId="77777777" w:rsidR="00CE621B" w:rsidRPr="00D1323A" w:rsidRDefault="00CE621B" w:rsidP="00CE621B">
      <w:pPr>
        <w:spacing w:line="480" w:lineRule="auto"/>
        <w:rPr>
          <w:rFonts w:asciiTheme="majorHAnsi" w:hAnsiTheme="majorHAnsi"/>
          <w:b/>
        </w:rPr>
      </w:pPr>
      <w:r w:rsidRPr="00D1323A">
        <w:rPr>
          <w:rFonts w:asciiTheme="majorHAnsi" w:hAnsiTheme="majorHAnsi"/>
          <w:b/>
        </w:rPr>
        <w:t xml:space="preserve">Sample preparation for electron microprobe analysis </w:t>
      </w:r>
    </w:p>
    <w:p w14:paraId="044CE064" w14:textId="16322D9D" w:rsidR="00CE621B" w:rsidRPr="00D1323A" w:rsidRDefault="00CE621B" w:rsidP="00CE621B">
      <w:pPr>
        <w:spacing w:line="480" w:lineRule="auto"/>
        <w:rPr>
          <w:rFonts w:asciiTheme="majorHAnsi" w:hAnsiTheme="majorHAnsi"/>
        </w:rPr>
      </w:pPr>
      <w:r w:rsidRPr="00D1323A">
        <w:rPr>
          <w:rFonts w:asciiTheme="majorHAnsi" w:hAnsiTheme="majorHAnsi"/>
        </w:rPr>
        <w:tab/>
      </w:r>
      <w:r w:rsidR="00721133" w:rsidRPr="00D1323A">
        <w:rPr>
          <w:rFonts w:asciiTheme="majorHAnsi" w:hAnsiTheme="majorHAnsi"/>
        </w:rPr>
        <w:t xml:space="preserve">Lake Mead </w:t>
      </w:r>
      <w:r w:rsidRPr="00D1323A">
        <w:rPr>
          <w:rFonts w:asciiTheme="majorHAnsi" w:hAnsiTheme="majorHAnsi"/>
        </w:rPr>
        <w:t>samples</w:t>
      </w:r>
      <w:r w:rsidR="00721133" w:rsidRPr="00D1323A">
        <w:rPr>
          <w:rFonts w:asciiTheme="majorHAnsi" w:hAnsiTheme="majorHAnsi"/>
        </w:rPr>
        <w:t xml:space="preserve"> were prepared for quantitative geochemical analysis by electron microprobe analysis first by air drying, and then as</w:t>
      </w:r>
      <w:r w:rsidR="00F107F0" w:rsidRPr="00D1323A">
        <w:rPr>
          <w:rFonts w:asciiTheme="majorHAnsi" w:hAnsiTheme="majorHAnsi"/>
        </w:rPr>
        <w:t xml:space="preserve">sessing individual samples for </w:t>
      </w:r>
      <w:r w:rsidR="00721133" w:rsidRPr="00D1323A">
        <w:rPr>
          <w:rFonts w:asciiTheme="majorHAnsi" w:hAnsiTheme="majorHAnsi"/>
        </w:rPr>
        <w:t xml:space="preserve">the best preparation method.  Samples that were easily disaggregated were prepared as grain mounts in leucite sample molds </w:t>
      </w:r>
      <w:r w:rsidR="004B4A7B" w:rsidRPr="00D1323A">
        <w:rPr>
          <w:rFonts w:asciiTheme="majorHAnsi" w:hAnsiTheme="majorHAnsi"/>
        </w:rPr>
        <w:fldChar w:fldCharType="begin"/>
      </w:r>
      <w:r w:rsidRPr="00D1323A">
        <w:rPr>
          <w:rFonts w:asciiTheme="majorHAnsi" w:hAnsiTheme="majorHAnsi"/>
        </w:rPr>
        <w:instrText xml:space="preserve"> ADDIN EN.CITE &lt;EndNote&gt;&lt;Cite&gt;&lt;Author&gt;Dunbar&lt;/Author&gt;&lt;Year&gt;2003&lt;/Year&gt;&lt;RecNum&gt;4205&lt;/RecNum&gt;&lt;record&gt;&lt;rec-number&gt;4205&lt;/rec-number&gt;&lt;ref-type name="Journal Article"&gt;17&lt;/ref-type&gt;&lt;contributors&gt;&lt;authors&gt;&lt;author&gt;Dunbar, NW&lt;/author&gt;&lt;author&gt;Zielinski, GA&lt;/author&gt;&lt;author&gt;Voisins, DT&lt;/author&gt;&lt;/authors&gt;&lt;/contributors&gt;&lt;auth-address&gt;New Mexico Inst Min &amp;amp; Technol, E&amp;amp;ES Dept, NMBGMR, Socorro, NM 87801 USA&amp;#xD;New Mexico Inst Min &amp;amp; Technol, E&amp;amp;ES Dept, NMBGMR, Socorro, NM 87801 USA&amp;#xD;Univ New Hampshire, Climate Change Res Ctr, Durham, NH 03824 USA&amp;#xD;Univ Maine, Climate Change Inst, Orono, ME 04469 USA&lt;/auth-address&gt;&lt;titles&gt;&lt;title&gt;Tephra layers in the Siple Dome and Taylor Dome ice cores, Antarctica: Sources and correlations&lt;/title&gt;&lt;secondary-title&gt;Journal of Geophysical Research&lt;/secondary-title&gt;&lt;/titles&gt;&lt;periodical&gt;&lt;full-title&gt;Journal of Geophysical Research&lt;/full-title&gt;&lt;/periodical&gt;&lt;pages&gt;2374-2385&lt;/pages&gt;&lt;volume&gt;108&lt;/volume&gt;&lt;number&gt;B8&lt;/number&gt;&lt;dates&gt;&lt;year&gt;2003&lt;/year&gt;&lt;/dates&gt;&lt;publisher&gt;AMER GEOPHYSICAL UNION&lt;/publisher&gt;&lt;work-type&gt;Article&lt;/work-type&gt;&lt;urls&gt;&lt;related-urls&gt;&lt;url&gt;have PDF&lt;/url&gt;&lt;/related-urls&gt;&lt;/urls&gt;&lt;/record&gt;&lt;/Cite&gt;&lt;/EndNote&gt;</w:instrText>
      </w:r>
      <w:r w:rsidR="004B4A7B" w:rsidRPr="00D1323A">
        <w:rPr>
          <w:rFonts w:asciiTheme="majorHAnsi" w:hAnsiTheme="majorHAnsi"/>
        </w:rPr>
        <w:fldChar w:fldCharType="separate"/>
      </w:r>
      <w:r w:rsidRPr="00D1323A">
        <w:rPr>
          <w:rFonts w:asciiTheme="majorHAnsi" w:hAnsiTheme="majorHAnsi"/>
        </w:rPr>
        <w:t>(Dunbar et al., 2003)</w:t>
      </w:r>
      <w:r w:rsidR="004B4A7B" w:rsidRPr="00D1323A">
        <w:rPr>
          <w:rFonts w:asciiTheme="majorHAnsi" w:hAnsiTheme="majorHAnsi"/>
        </w:rPr>
        <w:fldChar w:fldCharType="end"/>
      </w:r>
      <w:r w:rsidR="00721133" w:rsidRPr="00D1323A">
        <w:rPr>
          <w:rFonts w:asciiTheme="majorHAnsi" w:hAnsiTheme="majorHAnsi"/>
        </w:rPr>
        <w:t>, and those that were more lithified with prepared as individual rock pieces mounted in plugs</w:t>
      </w:r>
      <w:r w:rsidRPr="00D1323A">
        <w:rPr>
          <w:rFonts w:asciiTheme="majorHAnsi" w:hAnsiTheme="majorHAnsi"/>
        </w:rPr>
        <w:t>.</w:t>
      </w:r>
      <w:r w:rsidR="00721133" w:rsidRPr="00D1323A">
        <w:rPr>
          <w:rFonts w:asciiTheme="majorHAnsi" w:hAnsiTheme="majorHAnsi"/>
        </w:rPr>
        <w:t xml:space="preserve">  Many of the lithified samples contained significant pore space, and so were placed in a vacuum impregnator during sample preparation so that </w:t>
      </w:r>
      <w:r w:rsidR="00DD6C90" w:rsidRPr="00D1323A">
        <w:rPr>
          <w:rFonts w:asciiTheme="majorHAnsi" w:hAnsiTheme="majorHAnsi"/>
        </w:rPr>
        <w:t xml:space="preserve">the </w:t>
      </w:r>
      <w:r w:rsidR="00721133" w:rsidRPr="00D1323A">
        <w:rPr>
          <w:rFonts w:asciiTheme="majorHAnsi" w:hAnsiTheme="majorHAnsi"/>
        </w:rPr>
        <w:t>epoxy (</w:t>
      </w:r>
      <w:proofErr w:type="spellStart"/>
      <w:r w:rsidR="00721133" w:rsidRPr="00D1323A">
        <w:rPr>
          <w:rFonts w:asciiTheme="majorHAnsi" w:hAnsiTheme="majorHAnsi"/>
        </w:rPr>
        <w:t>Spurr</w:t>
      </w:r>
      <w:proofErr w:type="spellEnd"/>
      <w:r w:rsidR="00721133" w:rsidRPr="00D1323A">
        <w:rPr>
          <w:rFonts w:asciiTheme="majorHAnsi" w:hAnsiTheme="majorHAnsi"/>
        </w:rPr>
        <w:t xml:space="preserve"> low-viscosity 4-part mix) was able to penetrate the pore spaces as completely as possible. Samples were then ground to a</w:t>
      </w:r>
      <w:r w:rsidRPr="00D1323A">
        <w:rPr>
          <w:rFonts w:asciiTheme="majorHAnsi" w:hAnsiTheme="majorHAnsi"/>
        </w:rPr>
        <w:t xml:space="preserve"> c</w:t>
      </w:r>
      <w:r w:rsidR="00DD6C90" w:rsidRPr="00D1323A">
        <w:rPr>
          <w:rFonts w:asciiTheme="majorHAnsi" w:hAnsiTheme="majorHAnsi"/>
        </w:rPr>
        <w:t>ompletely flat sample surface</w:t>
      </w:r>
      <w:r w:rsidR="00721133" w:rsidRPr="00D1323A">
        <w:rPr>
          <w:rFonts w:asciiTheme="majorHAnsi" w:hAnsiTheme="majorHAnsi"/>
        </w:rPr>
        <w:t xml:space="preserve"> using diamond-impregnated metal disks, followed </w:t>
      </w:r>
      <w:r w:rsidR="00DD6C90" w:rsidRPr="00D1323A">
        <w:rPr>
          <w:rFonts w:asciiTheme="majorHAnsi" w:hAnsiTheme="majorHAnsi"/>
        </w:rPr>
        <w:t>polishing</w:t>
      </w:r>
      <w:r w:rsidRPr="00D1323A">
        <w:rPr>
          <w:rFonts w:asciiTheme="majorHAnsi" w:hAnsiTheme="majorHAnsi"/>
        </w:rPr>
        <w:t xml:space="preserve"> using 15, 6 and 1 micron pure diamond grit suspended in distilled water.  </w:t>
      </w:r>
      <w:r w:rsidR="00DD6C90" w:rsidRPr="00D1323A">
        <w:rPr>
          <w:rFonts w:asciiTheme="majorHAnsi" w:hAnsiTheme="majorHAnsi"/>
        </w:rPr>
        <w:t xml:space="preserve"> </w:t>
      </w:r>
    </w:p>
    <w:p w14:paraId="144912CE" w14:textId="77777777" w:rsidR="00DD6C90" w:rsidRPr="00D1323A" w:rsidRDefault="00DD6C90" w:rsidP="00CE621B">
      <w:pPr>
        <w:spacing w:line="480" w:lineRule="auto"/>
        <w:rPr>
          <w:rFonts w:asciiTheme="majorHAnsi" w:hAnsiTheme="majorHAnsi"/>
        </w:rPr>
      </w:pPr>
      <w:r w:rsidRPr="00D1323A">
        <w:rPr>
          <w:rFonts w:asciiTheme="majorHAnsi" w:hAnsiTheme="majorHAnsi"/>
        </w:rPr>
        <w:t xml:space="preserve">Samples were then carbon coated </w:t>
      </w:r>
      <w:r w:rsidR="0087553C" w:rsidRPr="00D1323A">
        <w:rPr>
          <w:rFonts w:asciiTheme="majorHAnsi" w:hAnsiTheme="majorHAnsi"/>
        </w:rPr>
        <w:t xml:space="preserve">to a thickness of 200 angstrom thickness </w:t>
      </w:r>
      <w:r w:rsidRPr="00D1323A">
        <w:rPr>
          <w:rFonts w:asciiTheme="majorHAnsi" w:hAnsiTheme="majorHAnsi"/>
        </w:rPr>
        <w:t>prior to analysis.</w:t>
      </w:r>
    </w:p>
    <w:p w14:paraId="52631E55" w14:textId="77777777" w:rsidR="00CE621B" w:rsidRPr="00D1323A" w:rsidRDefault="00CE621B" w:rsidP="00CE621B">
      <w:pPr>
        <w:spacing w:line="480" w:lineRule="auto"/>
        <w:rPr>
          <w:rFonts w:asciiTheme="majorHAnsi" w:hAnsiTheme="majorHAnsi"/>
          <w:b/>
        </w:rPr>
      </w:pPr>
      <w:r w:rsidRPr="00D1323A">
        <w:rPr>
          <w:rFonts w:asciiTheme="majorHAnsi" w:hAnsiTheme="majorHAnsi"/>
          <w:b/>
        </w:rPr>
        <w:t>Electron Microprobe analysis</w:t>
      </w:r>
    </w:p>
    <w:p w14:paraId="3F8F973E" w14:textId="77777777" w:rsidR="00421AD7" w:rsidRPr="00D1323A" w:rsidRDefault="00CE621B" w:rsidP="00CE621B">
      <w:pPr>
        <w:spacing w:line="480" w:lineRule="auto"/>
        <w:rPr>
          <w:rFonts w:asciiTheme="majorHAnsi" w:hAnsiTheme="majorHAnsi"/>
        </w:rPr>
      </w:pPr>
      <w:r w:rsidRPr="00D1323A">
        <w:rPr>
          <w:rFonts w:asciiTheme="majorHAnsi" w:hAnsiTheme="majorHAnsi"/>
        </w:rPr>
        <w:tab/>
      </w:r>
      <w:r w:rsidR="0087553C" w:rsidRPr="00D1323A">
        <w:rPr>
          <w:rFonts w:asciiTheme="majorHAnsi" w:hAnsiTheme="majorHAnsi"/>
        </w:rPr>
        <w:t xml:space="preserve">The purpose of geochemical analyses of Lake Mead tephra samples was to provide correlations between different units, as well as to assess samples for suitability for </w:t>
      </w:r>
      <w:r w:rsidR="0087553C" w:rsidRPr="00D1323A">
        <w:rPr>
          <w:rFonts w:asciiTheme="majorHAnsi" w:hAnsiTheme="majorHAnsi"/>
          <w:vertAlign w:val="superscript"/>
        </w:rPr>
        <w:t>40</w:t>
      </w:r>
      <w:r w:rsidR="0087553C" w:rsidRPr="00D1323A">
        <w:rPr>
          <w:rFonts w:asciiTheme="majorHAnsi" w:hAnsiTheme="majorHAnsi"/>
        </w:rPr>
        <w:t>Ar/</w:t>
      </w:r>
      <w:r w:rsidR="0087553C" w:rsidRPr="00D1323A">
        <w:rPr>
          <w:rFonts w:asciiTheme="majorHAnsi" w:hAnsiTheme="majorHAnsi"/>
          <w:vertAlign w:val="superscript"/>
        </w:rPr>
        <w:t>39</w:t>
      </w:r>
      <w:r w:rsidR="0087553C" w:rsidRPr="00D1323A">
        <w:rPr>
          <w:rFonts w:asciiTheme="majorHAnsi" w:hAnsiTheme="majorHAnsi"/>
        </w:rPr>
        <w:t xml:space="preserve">Ar analysis.  </w:t>
      </w:r>
      <w:r w:rsidR="00F30EA7" w:rsidRPr="00D1323A">
        <w:rPr>
          <w:rFonts w:asciiTheme="majorHAnsi" w:hAnsiTheme="majorHAnsi"/>
        </w:rPr>
        <w:t xml:space="preserve">Towards this end, all samples were investigated using a </w:t>
      </w:r>
      <w:proofErr w:type="spellStart"/>
      <w:r w:rsidR="00F30EA7" w:rsidRPr="00D1323A">
        <w:rPr>
          <w:rFonts w:asciiTheme="majorHAnsi" w:hAnsiTheme="majorHAnsi"/>
        </w:rPr>
        <w:t>Cameca</w:t>
      </w:r>
      <w:proofErr w:type="spellEnd"/>
      <w:r w:rsidR="00F30EA7" w:rsidRPr="00D1323A">
        <w:rPr>
          <w:rFonts w:asciiTheme="majorHAnsi" w:hAnsiTheme="majorHAnsi"/>
        </w:rPr>
        <w:t xml:space="preserve"> SX-100 electron microprobe located at New Mexico Institute of Mining and Technology. </w:t>
      </w:r>
      <w:r w:rsidR="0087553C" w:rsidRPr="00D1323A">
        <w:rPr>
          <w:rFonts w:asciiTheme="majorHAnsi" w:hAnsiTheme="majorHAnsi"/>
        </w:rPr>
        <w:t xml:space="preserve"> </w:t>
      </w:r>
      <w:r w:rsidR="00F30EA7" w:rsidRPr="00D1323A">
        <w:rPr>
          <w:rFonts w:asciiTheme="majorHAnsi" w:hAnsiTheme="majorHAnsi"/>
        </w:rPr>
        <w:t>S</w:t>
      </w:r>
      <w:r w:rsidR="0087553C" w:rsidRPr="00D1323A">
        <w:rPr>
          <w:rFonts w:asciiTheme="majorHAnsi" w:hAnsiTheme="majorHAnsi"/>
        </w:rPr>
        <w:t xml:space="preserve">amples were first </w:t>
      </w:r>
      <w:r w:rsidR="00041D69" w:rsidRPr="00D1323A">
        <w:rPr>
          <w:rFonts w:asciiTheme="majorHAnsi" w:hAnsiTheme="majorHAnsi"/>
        </w:rPr>
        <w:t xml:space="preserve">examined in backscattered electron imaging (BSE) in order to assess the presence or absence of glass shards, as well as to </w:t>
      </w:r>
      <w:r w:rsidR="009F7329" w:rsidRPr="00D1323A">
        <w:rPr>
          <w:rFonts w:asciiTheme="majorHAnsi" w:hAnsiTheme="majorHAnsi"/>
        </w:rPr>
        <w:t xml:space="preserve">qualitatively </w:t>
      </w:r>
      <w:r w:rsidR="00041D69" w:rsidRPr="00D1323A">
        <w:rPr>
          <w:rFonts w:asciiTheme="majorHAnsi" w:hAnsiTheme="majorHAnsi"/>
        </w:rPr>
        <w:t>assess the phenocryst abundance</w:t>
      </w:r>
      <w:r w:rsidR="009F7329" w:rsidRPr="00D1323A">
        <w:rPr>
          <w:rFonts w:asciiTheme="majorHAnsi" w:hAnsiTheme="majorHAnsi"/>
        </w:rPr>
        <w:t>, size and composition</w:t>
      </w:r>
      <w:r w:rsidR="00041D69" w:rsidRPr="00D1323A">
        <w:rPr>
          <w:rFonts w:asciiTheme="majorHAnsi" w:hAnsiTheme="majorHAnsi"/>
        </w:rPr>
        <w:t xml:space="preserve">.  </w:t>
      </w:r>
      <w:r w:rsidR="00730F52" w:rsidRPr="00D1323A">
        <w:rPr>
          <w:rFonts w:asciiTheme="majorHAnsi" w:hAnsiTheme="majorHAnsi"/>
        </w:rPr>
        <w:t xml:space="preserve">For fined grained samples, or ones with complex </w:t>
      </w:r>
      <w:r w:rsidR="00730F52" w:rsidRPr="00D1323A">
        <w:rPr>
          <w:rFonts w:asciiTheme="majorHAnsi" w:hAnsiTheme="majorHAnsi"/>
        </w:rPr>
        <w:lastRenderedPageBreak/>
        <w:t xml:space="preserve">mineralogy, </w:t>
      </w:r>
      <w:r w:rsidR="00F30EA7" w:rsidRPr="00D1323A">
        <w:rPr>
          <w:rFonts w:asciiTheme="majorHAnsi" w:hAnsiTheme="majorHAnsi"/>
        </w:rPr>
        <w:t xml:space="preserve">maps of the K concentration of a representative area of sample were collected, in order to be sure to </w:t>
      </w:r>
      <w:r w:rsidR="009F7329" w:rsidRPr="00D1323A">
        <w:rPr>
          <w:rFonts w:asciiTheme="majorHAnsi" w:hAnsiTheme="majorHAnsi"/>
        </w:rPr>
        <w:t xml:space="preserve">not miss any population of K-rich feldspar.  </w:t>
      </w:r>
      <w:r w:rsidR="00E47F09" w:rsidRPr="00D1323A">
        <w:rPr>
          <w:rFonts w:asciiTheme="majorHAnsi" w:hAnsiTheme="majorHAnsi"/>
        </w:rPr>
        <w:t xml:space="preserve">Wherever present, the composition of glass fragments were analyzed, typically 20-30 individual points per sample.  If feldspar and fresh biotite were also present in a glass-bearing sample, a representative number of points were collected on these phases.  If no glass was present in a sample, a greater number of points were collected on feldspar and biotite, typically 30 points on feldspar and 10-20 on biotite.  If two feldspar compositions were present, both were analyzed, and if any zoning appeared to be present, cores and rims of feldspar were analyzed separately.  </w:t>
      </w:r>
      <w:r w:rsidRPr="00D1323A">
        <w:rPr>
          <w:rFonts w:asciiTheme="majorHAnsi" w:hAnsiTheme="majorHAnsi"/>
        </w:rPr>
        <w:t xml:space="preserve">Elements analyzed </w:t>
      </w:r>
      <w:r w:rsidR="003109B2" w:rsidRPr="00D1323A">
        <w:rPr>
          <w:rFonts w:asciiTheme="majorHAnsi" w:hAnsiTheme="majorHAnsi"/>
        </w:rPr>
        <w:t xml:space="preserve">on glass points </w:t>
      </w:r>
      <w:r w:rsidRPr="00D1323A">
        <w:rPr>
          <w:rFonts w:asciiTheme="majorHAnsi" w:hAnsiTheme="majorHAnsi"/>
        </w:rPr>
        <w:t xml:space="preserve">include Na, Mg, Al, Si, P, S, Cl, K, Ca, </w:t>
      </w:r>
      <w:proofErr w:type="spellStart"/>
      <w:r w:rsidRPr="00D1323A">
        <w:rPr>
          <w:rFonts w:asciiTheme="majorHAnsi" w:hAnsiTheme="majorHAnsi"/>
        </w:rPr>
        <w:t>Ti</w:t>
      </w:r>
      <w:proofErr w:type="spellEnd"/>
      <w:r w:rsidRPr="00D1323A">
        <w:rPr>
          <w:rFonts w:asciiTheme="majorHAnsi" w:hAnsiTheme="majorHAnsi"/>
        </w:rPr>
        <w:t xml:space="preserve">, Mn, and Fe.  </w:t>
      </w:r>
      <w:r w:rsidR="00D54665" w:rsidRPr="00D1323A">
        <w:rPr>
          <w:rFonts w:asciiTheme="majorHAnsi" w:hAnsiTheme="majorHAnsi"/>
        </w:rPr>
        <w:t>An a</w:t>
      </w:r>
      <w:r w:rsidRPr="00D1323A">
        <w:rPr>
          <w:rFonts w:asciiTheme="majorHAnsi" w:hAnsiTheme="majorHAnsi"/>
        </w:rPr>
        <w:t xml:space="preserve">ccelerating voltage of 15 kV was used, and a probe current of 10 </w:t>
      </w:r>
      <w:proofErr w:type="spellStart"/>
      <w:r w:rsidRPr="00D1323A">
        <w:rPr>
          <w:rFonts w:asciiTheme="majorHAnsi" w:hAnsiTheme="majorHAnsi"/>
        </w:rPr>
        <w:t>nA.</w:t>
      </w:r>
      <w:proofErr w:type="spellEnd"/>
      <w:r w:rsidRPr="00D1323A">
        <w:rPr>
          <w:rFonts w:asciiTheme="majorHAnsi" w:hAnsiTheme="majorHAnsi"/>
        </w:rPr>
        <w:t xml:space="preserve">  Beam size </w:t>
      </w:r>
      <w:r w:rsidR="003109B2" w:rsidRPr="00D1323A">
        <w:rPr>
          <w:rFonts w:asciiTheme="majorHAnsi" w:hAnsiTheme="majorHAnsi"/>
        </w:rPr>
        <w:t xml:space="preserve">of 20 µm was used for all glass points in order to avoid Na loss </w:t>
      </w:r>
      <w:r w:rsidR="004B4A7B" w:rsidRPr="00D1323A">
        <w:rPr>
          <w:rFonts w:asciiTheme="majorHAnsi" w:hAnsiTheme="majorHAnsi"/>
        </w:rPr>
        <w:fldChar w:fldCharType="begin"/>
      </w:r>
      <w:r w:rsidRPr="00D1323A">
        <w:rPr>
          <w:rFonts w:asciiTheme="majorHAnsi" w:hAnsiTheme="majorHAnsi"/>
        </w:rPr>
        <w:instrText xml:space="preserve"> ADDIN EN.CITE &lt;EndNote&gt;&lt;Cite&gt;&lt;Author&gt;Nielsen&lt;/Author&gt;&lt;Year&gt;1981&lt;/Year&gt;&lt;RecNum&gt;185&lt;/RecNum&gt;&lt;record&gt;&lt;rec-number&gt;185&lt;/rec-number&gt;&lt;ref-type name="Journal Article"&gt;17&lt;/ref-type&gt;&lt;contributors&gt;&lt;authors&gt;&lt;author&gt;Nielsen, C. H.&lt;/author&gt;&lt;author&gt;Sigurdsson, H.&lt;/author&gt;&lt;/authors&gt;&lt;/contributors&gt;&lt;titles&gt;&lt;title&gt;Qualitative methods for electron microprobe analysis of sodium in natural and synthetic glasses&lt;/title&gt;&lt;secondary-title&gt;American Mineralogist&lt;/secondary-title&gt;&lt;alt-title&gt;Am. Mineral.&lt;/alt-title&gt;&lt;/titles&gt;&lt;periodical&gt;&lt;full-title&gt;American Mineralogist&lt;/full-title&gt;&lt;abbr-1&gt;Am. Mineral.&lt;/abbr-1&gt;&lt;/periodical&gt;&lt;alt-periodical&gt;&lt;full-title&gt;American Mineralogist&lt;/full-title&gt;&lt;abbr-1&gt;Am. Mineral.&lt;/abbr-1&gt;&lt;/alt-periodical&gt;&lt;pages&gt;547-552&lt;/pages&gt;&lt;volume&gt;66&lt;/volume&gt;&lt;dates&gt;&lt;year&gt;1981&lt;/year&gt;&lt;/dates&gt;&lt;label&gt;188&lt;/label&gt;&lt;urls&gt;&lt;/urls&gt;&lt;/record&gt;&lt;/Cite&gt;&lt;/EndNote&gt;</w:instrText>
      </w:r>
      <w:r w:rsidR="004B4A7B" w:rsidRPr="00D1323A">
        <w:rPr>
          <w:rFonts w:asciiTheme="majorHAnsi" w:hAnsiTheme="majorHAnsi"/>
        </w:rPr>
        <w:fldChar w:fldCharType="separate"/>
      </w:r>
      <w:r w:rsidRPr="00D1323A">
        <w:rPr>
          <w:rFonts w:asciiTheme="majorHAnsi" w:hAnsiTheme="majorHAnsi"/>
        </w:rPr>
        <w:t>(Nielsen and Sigurdsson, 1981)</w:t>
      </w:r>
      <w:r w:rsidR="004B4A7B" w:rsidRPr="00D1323A">
        <w:rPr>
          <w:rFonts w:asciiTheme="majorHAnsi" w:hAnsiTheme="majorHAnsi"/>
        </w:rPr>
        <w:fldChar w:fldCharType="end"/>
      </w:r>
      <w:r w:rsidRPr="00D1323A">
        <w:rPr>
          <w:rFonts w:asciiTheme="majorHAnsi" w:hAnsiTheme="majorHAnsi"/>
        </w:rPr>
        <w:t xml:space="preserve">.  </w:t>
      </w:r>
      <w:r w:rsidR="003109B2" w:rsidRPr="00D1323A">
        <w:rPr>
          <w:rFonts w:asciiTheme="majorHAnsi" w:hAnsiTheme="majorHAnsi"/>
        </w:rPr>
        <w:t xml:space="preserve">For feldspar analyses, determinations for Na, Al, Si, K, Ca, Fe, Sr, and Ba were made, using a </w:t>
      </w:r>
      <w:r w:rsidR="00A26030" w:rsidRPr="00D1323A">
        <w:rPr>
          <w:rFonts w:asciiTheme="majorHAnsi" w:hAnsiTheme="majorHAnsi"/>
        </w:rPr>
        <w:t xml:space="preserve">15 kV accelerating voltage, </w:t>
      </w:r>
      <w:r w:rsidR="003109B2" w:rsidRPr="00D1323A">
        <w:rPr>
          <w:rFonts w:asciiTheme="majorHAnsi" w:hAnsiTheme="majorHAnsi"/>
        </w:rPr>
        <w:t xml:space="preserve">20 </w:t>
      </w:r>
      <w:proofErr w:type="spellStart"/>
      <w:r w:rsidR="003109B2" w:rsidRPr="00D1323A">
        <w:rPr>
          <w:rFonts w:asciiTheme="majorHAnsi" w:hAnsiTheme="majorHAnsi"/>
        </w:rPr>
        <w:t>nA</w:t>
      </w:r>
      <w:proofErr w:type="spellEnd"/>
      <w:r w:rsidR="003109B2" w:rsidRPr="00D1323A">
        <w:rPr>
          <w:rFonts w:asciiTheme="majorHAnsi" w:hAnsiTheme="majorHAnsi"/>
        </w:rPr>
        <w:t xml:space="preserve"> beam and 10 µm beam size.  </w:t>
      </w:r>
      <w:r w:rsidR="00A26030" w:rsidRPr="00D1323A">
        <w:rPr>
          <w:rFonts w:asciiTheme="majorHAnsi" w:hAnsiTheme="majorHAnsi"/>
        </w:rPr>
        <w:t xml:space="preserve"> Biotite analyses included F, Na, Mg, Al, Si, Cl, K, Ca, </w:t>
      </w:r>
      <w:proofErr w:type="spellStart"/>
      <w:r w:rsidR="00A26030" w:rsidRPr="00D1323A">
        <w:rPr>
          <w:rFonts w:asciiTheme="majorHAnsi" w:hAnsiTheme="majorHAnsi"/>
        </w:rPr>
        <w:t>Ti</w:t>
      </w:r>
      <w:proofErr w:type="spellEnd"/>
      <w:r w:rsidR="00A26030" w:rsidRPr="00D1323A">
        <w:rPr>
          <w:rFonts w:asciiTheme="majorHAnsi" w:hAnsiTheme="majorHAnsi"/>
        </w:rPr>
        <w:t xml:space="preserve">, Mn, and Fe, and analyses were made using a 15 kV accelerating voltage, 20 </w:t>
      </w:r>
      <w:proofErr w:type="spellStart"/>
      <w:r w:rsidR="00A26030" w:rsidRPr="00D1323A">
        <w:rPr>
          <w:rFonts w:asciiTheme="majorHAnsi" w:hAnsiTheme="majorHAnsi"/>
        </w:rPr>
        <w:t>nA</w:t>
      </w:r>
      <w:proofErr w:type="spellEnd"/>
      <w:r w:rsidR="00A26030" w:rsidRPr="00D1323A">
        <w:rPr>
          <w:rFonts w:asciiTheme="majorHAnsi" w:hAnsiTheme="majorHAnsi"/>
        </w:rPr>
        <w:t xml:space="preserve"> beam and 10 µm beam size.   </w:t>
      </w:r>
      <w:r w:rsidR="003109B2" w:rsidRPr="00D1323A">
        <w:rPr>
          <w:rFonts w:asciiTheme="majorHAnsi" w:hAnsiTheme="majorHAnsi"/>
        </w:rPr>
        <w:t xml:space="preserve"> </w:t>
      </w:r>
      <w:r w:rsidR="00A26030" w:rsidRPr="00D1323A">
        <w:rPr>
          <w:rFonts w:asciiTheme="majorHAnsi" w:hAnsiTheme="majorHAnsi"/>
        </w:rPr>
        <w:t xml:space="preserve">Details of all analytical procedures, including count times, crystals used, lines analyzed, background positions, and calibration standards can be found in supplementary documents.  </w:t>
      </w:r>
    </w:p>
    <w:p w14:paraId="02AA02BD" w14:textId="77777777" w:rsidR="00CE621B" w:rsidRPr="00D1323A" w:rsidRDefault="00CE621B" w:rsidP="00421AD7">
      <w:pPr>
        <w:spacing w:line="480" w:lineRule="auto"/>
        <w:ind w:firstLine="720"/>
        <w:rPr>
          <w:rFonts w:asciiTheme="majorHAnsi" w:hAnsiTheme="majorHAnsi"/>
        </w:rPr>
      </w:pPr>
      <w:r w:rsidRPr="00D1323A">
        <w:rPr>
          <w:rFonts w:asciiTheme="majorHAnsi" w:hAnsiTheme="majorHAnsi"/>
        </w:rPr>
        <w:t xml:space="preserve">Analytical precision, </w:t>
      </w:r>
      <w:r w:rsidR="00421AD7" w:rsidRPr="00D1323A">
        <w:rPr>
          <w:rFonts w:asciiTheme="majorHAnsi" w:hAnsiTheme="majorHAnsi"/>
        </w:rPr>
        <w:t xml:space="preserve">which is an important factor when making correlations between tephra layers, is determined </w:t>
      </w:r>
      <w:r w:rsidRPr="00D1323A">
        <w:rPr>
          <w:rFonts w:asciiTheme="majorHAnsi" w:hAnsiTheme="majorHAnsi"/>
        </w:rPr>
        <w:t>based on replicate analyses of certified reference</w:t>
      </w:r>
      <w:r w:rsidR="00421AD7" w:rsidRPr="00D1323A">
        <w:rPr>
          <w:rFonts w:asciiTheme="majorHAnsi" w:hAnsiTheme="majorHAnsi"/>
        </w:rPr>
        <w:t xml:space="preserve"> materials, which were run several times in each analytical run for all runs over the several year duration of the project.  These</w:t>
      </w:r>
      <w:r w:rsidRPr="00D1323A">
        <w:rPr>
          <w:rFonts w:asciiTheme="majorHAnsi" w:hAnsiTheme="majorHAnsi"/>
        </w:rPr>
        <w:t xml:space="preserve"> standard reference materials, including feldspars, amphiboles, and glasses were run as unknowns in each analytical session to monitor calibration accuracy, </w:t>
      </w:r>
      <w:r w:rsidR="00421AD7" w:rsidRPr="00D1323A">
        <w:rPr>
          <w:rFonts w:asciiTheme="majorHAnsi" w:hAnsiTheme="majorHAnsi"/>
        </w:rPr>
        <w:t xml:space="preserve">and inter-run reproducibility.  These values are listed as footnotes in </w:t>
      </w:r>
      <w:r w:rsidR="00421AD7" w:rsidRPr="00D1323A">
        <w:rPr>
          <w:rFonts w:asciiTheme="majorHAnsi" w:hAnsiTheme="majorHAnsi"/>
        </w:rPr>
        <w:lastRenderedPageBreak/>
        <w:t xml:space="preserve">the tables of analytical data, and are typically very similar to precision determined based on counting statistics.  </w:t>
      </w:r>
    </w:p>
    <w:p w14:paraId="4F37BEA3" w14:textId="77777777" w:rsidR="00ED1178" w:rsidRPr="00D1323A" w:rsidRDefault="00ED1178" w:rsidP="00421AD7">
      <w:pPr>
        <w:spacing w:line="480" w:lineRule="auto"/>
        <w:ind w:firstLine="720"/>
        <w:rPr>
          <w:rFonts w:asciiTheme="majorHAnsi" w:hAnsiTheme="majorHAnsi"/>
        </w:rPr>
      </w:pPr>
    </w:p>
    <w:p w14:paraId="289952FA" w14:textId="77777777" w:rsidR="00ED1178" w:rsidRPr="00D1323A" w:rsidRDefault="00ED1178" w:rsidP="00ED1178">
      <w:pPr>
        <w:spacing w:line="480" w:lineRule="auto"/>
        <w:rPr>
          <w:rFonts w:asciiTheme="majorHAnsi" w:hAnsiTheme="majorHAnsi"/>
          <w:b/>
        </w:rPr>
      </w:pPr>
      <w:r w:rsidRPr="00D1323A">
        <w:rPr>
          <w:rFonts w:asciiTheme="majorHAnsi" w:hAnsiTheme="majorHAnsi"/>
          <w:b/>
        </w:rPr>
        <w:t>Correlations:</w:t>
      </w:r>
    </w:p>
    <w:p w14:paraId="1D11108C" w14:textId="77777777" w:rsidR="008D1B1A" w:rsidRPr="00D1323A" w:rsidRDefault="00ED1178" w:rsidP="008D1B1A">
      <w:pPr>
        <w:spacing w:line="480" w:lineRule="auto"/>
        <w:ind w:firstLine="720"/>
        <w:rPr>
          <w:rFonts w:asciiTheme="majorHAnsi" w:hAnsiTheme="majorHAnsi"/>
        </w:rPr>
      </w:pPr>
      <w:r w:rsidRPr="00D1323A">
        <w:rPr>
          <w:rFonts w:asciiTheme="majorHAnsi" w:hAnsiTheme="majorHAnsi"/>
        </w:rPr>
        <w:t xml:space="preserve">The ideal </w:t>
      </w:r>
      <w:r w:rsidR="003F090F" w:rsidRPr="00D1323A">
        <w:rPr>
          <w:rFonts w:asciiTheme="majorHAnsi" w:hAnsiTheme="majorHAnsi"/>
        </w:rPr>
        <w:t>material for making geochemical correlations between tephra layers is volcanic glass, which is typically, although not always, unique</w:t>
      </w:r>
      <w:r w:rsidR="008D1B1A" w:rsidRPr="00D1323A">
        <w:rPr>
          <w:rFonts w:asciiTheme="majorHAnsi" w:hAnsiTheme="majorHAnsi"/>
        </w:rPr>
        <w:t xml:space="preserve"> for a given eruptive event</w:t>
      </w:r>
      <w:r w:rsidR="003F090F" w:rsidRPr="00D1323A">
        <w:rPr>
          <w:rFonts w:asciiTheme="majorHAnsi" w:hAnsiTheme="majorHAnsi"/>
        </w:rPr>
        <w:t xml:space="preserve"> </w:t>
      </w:r>
      <w:r w:rsidR="003F090F" w:rsidRPr="00D1323A">
        <w:rPr>
          <w:rFonts w:asciiTheme="majorHAnsi" w:hAnsiTheme="majorHAnsi"/>
        </w:rPr>
        <w:fldChar w:fldCharType="begin"/>
      </w:r>
      <w:r w:rsidR="003F090F" w:rsidRPr="00D1323A">
        <w:rPr>
          <w:rFonts w:asciiTheme="majorHAnsi" w:hAnsiTheme="majorHAnsi"/>
        </w:rPr>
        <w:instrText xml:space="preserve"> ADDIN EN.CITE &lt;EndNote&gt;&lt;Cite&gt;&lt;Author&gt;Perkins&lt;/Author&gt;&lt;Year&gt;1995&lt;/Year&gt;&lt;RecNum&gt;2913&lt;/RecNum&gt;&lt;record&gt;&lt;rec-number&gt;2913&lt;/rec-number&gt;&lt;ref-type name="Journal Article"&gt;17&lt;/ref-type&gt;&lt;contributors&gt;&lt;authors&gt;&lt;author&gt;Perkins, ME&lt;/author&gt;&lt;author&gt;Nash, WP&lt;/author&gt;&lt;author&gt;Brown, FH&lt;/author&gt;&lt;author&gt;Fleck, RH&lt;/author&gt;&lt;/authors&gt;&lt;/contributors&gt;&lt;titles&gt;&lt;title&gt;Fallout tuffs of Trapper Creek, Idaho-  A record of Miocene explosive volcanism in the Snake River Plain volcanic province&lt;/title&gt;&lt;secondary-title&gt;Geological Society of America Bulletin&lt;/secondary-title&gt;&lt;/titles&gt;&lt;periodical&gt;&lt;full-title&gt;Geological Society of AMerica Bulletin&lt;/full-title&gt;&lt;/periodical&gt;&lt;pages&gt;1484-1506&lt;/pages&gt;&lt;volume&gt;107&lt;/volume&gt;&lt;number&gt;12&lt;/number&gt;&lt;keywords&gt;&lt;keyword&gt;tephra&lt;/keyword&gt;&lt;keyword&gt;Snake River Plain&lt;/keyword&gt;&lt;/keywords&gt;&lt;dates&gt;&lt;year&gt;1995&lt;/year&gt;&lt;/dates&gt;&lt;urls&gt;&lt;related-urls&gt;&lt;url&gt;have PDF&lt;/url&gt;&lt;/related-urls&gt;&lt;/urls&gt;&lt;/record&gt;&lt;/Cite&gt;&lt;/EndNote&gt;</w:instrText>
      </w:r>
      <w:r w:rsidR="003F090F" w:rsidRPr="00D1323A">
        <w:rPr>
          <w:rFonts w:asciiTheme="majorHAnsi" w:hAnsiTheme="majorHAnsi"/>
        </w:rPr>
        <w:fldChar w:fldCharType="separate"/>
      </w:r>
      <w:r w:rsidR="003F090F" w:rsidRPr="00D1323A">
        <w:rPr>
          <w:rFonts w:asciiTheme="majorHAnsi" w:hAnsiTheme="majorHAnsi"/>
        </w:rPr>
        <w:t>(Perkins et al., 1995)</w:t>
      </w:r>
      <w:r w:rsidR="003F090F" w:rsidRPr="00D1323A">
        <w:rPr>
          <w:rFonts w:asciiTheme="majorHAnsi" w:hAnsiTheme="majorHAnsi"/>
        </w:rPr>
        <w:fldChar w:fldCharType="end"/>
      </w:r>
      <w:r w:rsidR="003F090F" w:rsidRPr="00D1323A">
        <w:rPr>
          <w:rFonts w:asciiTheme="majorHAnsi" w:hAnsiTheme="majorHAnsi"/>
        </w:rPr>
        <w:t>.</w:t>
      </w:r>
      <w:r w:rsidR="008D1B1A" w:rsidRPr="00D1323A">
        <w:rPr>
          <w:rFonts w:asciiTheme="majorHAnsi" w:hAnsiTheme="majorHAnsi"/>
        </w:rPr>
        <w:t xml:space="preserve">  Correlation between glass compositions for different tephra layers  can be done quantitatively using statistical difference correlation techniques </w:t>
      </w:r>
      <w:r w:rsidR="008D1B1A" w:rsidRPr="00D1323A">
        <w:rPr>
          <w:rFonts w:asciiTheme="majorHAnsi" w:hAnsiTheme="majorHAnsi"/>
        </w:rPr>
        <w:fldChar w:fldCharType="begin"/>
      </w:r>
      <w:r w:rsidR="008D1B1A" w:rsidRPr="00D1323A">
        <w:rPr>
          <w:rFonts w:asciiTheme="majorHAnsi" w:hAnsiTheme="majorHAnsi"/>
        </w:rPr>
        <w:instrText xml:space="preserve"> ADDIN EN.CITE &lt;EndNote&gt;&lt;Cite&gt;&lt;Author&gt;Perkins&lt;/Author&gt;&lt;Year&gt;1995&lt;/Year&gt;&lt;RecNum&gt;2913&lt;/RecNum&gt;&lt;record&gt;&lt;rec-number&gt;2913&lt;/rec-number&gt;&lt;ref-type name="Journal Article"&gt;17&lt;/ref-type&gt;&lt;contributors&gt;&lt;authors&gt;&lt;author&gt;Perkins, ME&lt;/author&gt;&lt;author&gt;Nash, WP&lt;/author&gt;&lt;author&gt;Brown, FH&lt;/author&gt;&lt;author&gt;Fleck, RH&lt;/author&gt;&lt;/authors&gt;&lt;/contributors&gt;&lt;titles&gt;&lt;title&gt;Fallout tuffs of Trapper Creek, Idaho-  A record of Miocene explosive volcanism in the Snake River Plain volcanic province&lt;/title&gt;&lt;secondary-title&gt;Geological Society of America Bulletin&lt;/secondary-title&gt;&lt;/titles&gt;&lt;periodical&gt;&lt;full-title&gt;Geological Society of AMerica Bulletin&lt;/full-title&gt;&lt;/periodical&gt;&lt;pages&gt;1484-1506&lt;/pages&gt;&lt;volume&gt;107&lt;/volume&gt;&lt;number&gt;12&lt;/number&gt;&lt;keywords&gt;&lt;keyword&gt;tephra&lt;/keyword&gt;&lt;keyword&gt;Snake River Plain&lt;/keyword&gt;&lt;/keywords&gt;&lt;dates&gt;&lt;year&gt;1995&lt;/year&gt;&lt;/dates&gt;&lt;urls&gt;&lt;related-urls&gt;&lt;url&gt;have PDF&lt;/url&gt;&lt;/related-urls&gt;&lt;/urls&gt;&lt;/record&gt;&lt;/Cite&gt;&lt;/EndNote&gt;</w:instrText>
      </w:r>
      <w:r w:rsidR="008D1B1A" w:rsidRPr="00D1323A">
        <w:rPr>
          <w:rFonts w:asciiTheme="majorHAnsi" w:hAnsiTheme="majorHAnsi"/>
        </w:rPr>
        <w:fldChar w:fldCharType="separate"/>
      </w:r>
      <w:r w:rsidR="008D1B1A" w:rsidRPr="00D1323A">
        <w:rPr>
          <w:rFonts w:asciiTheme="majorHAnsi" w:hAnsiTheme="majorHAnsi"/>
        </w:rPr>
        <w:t>(Perkins et al., 1995)</w:t>
      </w:r>
      <w:r w:rsidR="008D1B1A" w:rsidRPr="00D1323A">
        <w:rPr>
          <w:rFonts w:asciiTheme="majorHAnsi" w:hAnsiTheme="majorHAnsi"/>
        </w:rPr>
        <w:fldChar w:fldCharType="end"/>
      </w:r>
      <w:r w:rsidR="008D1B1A" w:rsidRPr="00D1323A">
        <w:rPr>
          <w:rFonts w:asciiTheme="majorHAnsi" w:hAnsiTheme="majorHAnsi"/>
        </w:rPr>
        <w:t xml:space="preserve">.    This method involves calculation of the Euclidean distance function, D, (in standard deviation units) between chemical analyses.  The distance function takes into account the analytical error on the analyses, and therefore more heavily weights elements with higher analytical precision.  In the case of the analyses presented in this study, the elements that are typically weighted the most highly are Fe, Ca, </w:t>
      </w:r>
      <w:proofErr w:type="spellStart"/>
      <w:r w:rsidR="008D1B1A" w:rsidRPr="00D1323A">
        <w:rPr>
          <w:rFonts w:asciiTheme="majorHAnsi" w:hAnsiTheme="majorHAnsi"/>
        </w:rPr>
        <w:t>Ti</w:t>
      </w:r>
      <w:proofErr w:type="spellEnd"/>
      <w:r w:rsidR="008D1B1A" w:rsidRPr="00D1323A">
        <w:rPr>
          <w:rFonts w:asciiTheme="majorHAnsi" w:hAnsiTheme="majorHAnsi"/>
        </w:rPr>
        <w:t xml:space="preserve">, Mg and K.  The precision on determinations of Si, Al, P, Mn, Na and F tends to be lower, either due to analytical constraints, low abundances, or, as in the case of Na, volatility under the beam, particularly at smaller beam sizes.  If two analyses were perfectly identical, the D value would be 0.    However, because of normal statistical error of techniques used for shard analysis, the mean composition of two, coarse-grained, chemically identical tephra samples will typically have a D value of around 4 (Perkins et al., 1995).  Any value below 10 suggests a high degree of similarity between samples.   </w:t>
      </w:r>
    </w:p>
    <w:p w14:paraId="6C637D86" w14:textId="0950977D" w:rsidR="00CE621B" w:rsidRPr="00D1323A" w:rsidRDefault="008D1B1A" w:rsidP="00A86D5F">
      <w:pPr>
        <w:spacing w:line="480" w:lineRule="auto"/>
        <w:ind w:firstLine="720"/>
        <w:rPr>
          <w:rFonts w:asciiTheme="majorHAnsi" w:hAnsiTheme="majorHAnsi"/>
        </w:rPr>
      </w:pPr>
      <w:r w:rsidRPr="00D1323A">
        <w:rPr>
          <w:rFonts w:asciiTheme="majorHAnsi" w:hAnsiTheme="majorHAnsi"/>
        </w:rPr>
        <w:t xml:space="preserve">If the glass component of a tephra layer has been altered through progressive hydration in which the absorption of water cause mobility of alkali elements </w:t>
      </w:r>
      <w:r w:rsidRPr="00D1323A">
        <w:rPr>
          <w:rFonts w:asciiTheme="majorHAnsi" w:hAnsiTheme="majorHAnsi"/>
        </w:rPr>
        <w:fldChar w:fldCharType="begin"/>
      </w:r>
      <w:r w:rsidRPr="00D1323A">
        <w:rPr>
          <w:rFonts w:asciiTheme="majorHAnsi" w:hAnsiTheme="majorHAnsi"/>
        </w:rPr>
        <w:instrText xml:space="preserve"> ADDIN EN.CITE &lt;EndNote&gt;&lt;Cite&gt;&lt;Author&gt;Friedman&lt;/Author&gt;&lt;Year&gt;1976&lt;/Year&gt;&lt;RecNum&gt;83&lt;/RecNum&gt;&lt;record&gt;&lt;rec-number&gt;83&lt;/rec-number&gt;&lt;ref-type name="Journal Article"&gt;17&lt;/ref-type&gt;&lt;contributors&gt;&lt;authors&gt;&lt;author&gt;Friedman, I.&lt;/author&gt;&lt;author&gt;Long, W.&lt;/author&gt;&lt;/authors&gt;&lt;/contributors&gt;&lt;titles&gt;&lt;title&gt;Hydration rate of obsidian&lt;/title&gt;&lt;secondary-title&gt;Science&lt;/secondary-title&gt;&lt;alt-title&gt;Science&lt;/alt-title&gt;&lt;/titles&gt;&lt;periodical&gt;&lt;full-title&gt;Science&lt;/full-title&gt;&lt;/periodical&gt;&lt;alt-periodical&gt;&lt;full-title&gt;Science&lt;/full-title&gt;&lt;/alt-periodical&gt;&lt;pages&gt;347-352&lt;/pages&gt;&lt;volume&gt;191&lt;/volume&gt;&lt;keywords&gt;&lt;keyword&gt;OBSIDIAN&lt;/keyword&gt;&lt;keyword&gt;OBSIDIAN HYDRATION&lt;/keyword&gt;&lt;/keywords&gt;&lt;dates&gt;&lt;year&gt;1976&lt;/year&gt;&lt;/dates&gt;&lt;label&gt;85&lt;/label&gt;&lt;urls&gt;&lt;/urls&gt;&lt;/record&gt;&lt;/Cite&gt;&lt;Cite&gt;&lt;Author&gt;Shane&lt;/Author&gt;&lt;Year&gt;2000&lt;/Year&gt;&lt;RecNum&gt;4422&lt;/RecNum&gt;&lt;record&gt;&lt;rec-number&gt;4422&lt;/rec-number&gt;&lt;ref-type name="Journal Article"&gt;17&lt;/ref-type&gt;&lt;contributors&gt;&lt;authors&gt;&lt;author&gt;Shane, P.&lt;/author&gt;&lt;/authors&gt;&lt;/contributors&gt;&lt;auth-address&gt;Univ Auckland, Dept Geol, Private Bag 92019, Auckland, New Zealand&amp;#xD;Univ Auckland, Dept Geol, Auckland, New Zealand&lt;/auth-address&gt;&lt;titles&gt;&lt;title&gt;Tephrochronology: a new Zealand case study&lt;/title&gt;&lt;secondary-title&gt;Earth-Science Reviews&lt;/secondary-title&gt;&lt;/titles&gt;&lt;periodical&gt;&lt;full-title&gt;Earth-Science Reviews&lt;/full-title&gt;&lt;/periodical&gt;&lt;pages&gt;223-259&lt;/pages&gt;&lt;volume&gt;49&lt;/volume&gt;&lt;number&gt;1-4&lt;/number&gt;&lt;dates&gt;&lt;year&gt;2000&lt;/year&gt;&lt;/dates&gt;&lt;publisher&gt;ELSEVIER SCIENCE BV&lt;/publisher&gt;&lt;work-type&gt;Review&lt;/work-type&gt;&lt;urls&gt;&lt;related-urls&gt;&lt;url&gt;have PDF&lt;/url&gt;&lt;/related-urls&gt;&lt;/urls&gt;&lt;/record&gt;&lt;/Cite&gt;&lt;Cite&gt;&lt;Author&gt;Cerling&lt;/Author&gt;&lt;Year&gt;1985&lt;/Year&gt;&lt;RecNum&gt;48&lt;/RecNum&gt;&lt;record&gt;&lt;rec-number&gt;48&lt;/rec-number&gt;&lt;ref-type name="Journal Article"&gt;17&lt;/ref-type&gt;&lt;contributors&gt;&lt;authors&gt;&lt;author&gt;Cerling, T. E.&lt;/author&gt;&lt;author&gt;Brown, F. H.&lt;/author&gt;&lt;author&gt;Bowman, J. R.&lt;/author&gt;&lt;/authors&gt;&lt;/contributors&gt;&lt;titles&gt;&lt;title&gt;&lt;style face="normal" font="default" size="100%"&gt;Low temperature alteration of volcanic glass: Hydration, Na, K, &lt;/style&gt;&lt;style face="superscript" font="default" size="100%"&gt;18&lt;/style&gt;&lt;style face="normal" font="default" size="100%"&gt;O, and Ar mobility&lt;/style&gt;&lt;/title&gt;&lt;secondary-title&gt;Chemical Geology&lt;/secondary-title&gt;&lt;alt-title&gt;Chem. Geol.&lt;/alt-title&gt;&lt;/titles&gt;&lt;periodical&gt;&lt;full-title&gt;Chemical Geology&lt;/full-title&gt;&lt;/periodical&gt;&lt;alt-periodical&gt;&lt;full-title&gt;Chemical Geology&lt;/full-title&gt;&lt;abbr-1&gt;Chem. Geol.&lt;/abbr-1&gt;&lt;/alt-periodical&gt;&lt;pages&gt;281-293&lt;/pages&gt;&lt;volume&gt;52&lt;/volume&gt;&lt;keywords&gt;&lt;keyword&gt;ELEMENT MOBILITY&lt;/keyword&gt;&lt;keyword&gt;HYDRATION&lt;/keyword&gt;&lt;keyword&gt;OBSIDIAN&lt;/keyword&gt;&lt;/keywords&gt;&lt;dates&gt;&lt;year&gt;1985&lt;/year&gt;&lt;/dates&gt;&lt;label&gt;48&lt;/label&gt;&lt;urls&gt;&lt;/urls&gt;&lt;/record&gt;&lt;/Cite&gt;&lt;/EndNote&gt;</w:instrText>
      </w:r>
      <w:r w:rsidRPr="00D1323A">
        <w:rPr>
          <w:rFonts w:asciiTheme="majorHAnsi" w:hAnsiTheme="majorHAnsi"/>
        </w:rPr>
        <w:fldChar w:fldCharType="separate"/>
      </w:r>
      <w:r w:rsidRPr="00D1323A">
        <w:rPr>
          <w:rFonts w:asciiTheme="majorHAnsi" w:hAnsiTheme="majorHAnsi"/>
        </w:rPr>
        <w:t>(Cerling et al., 1985; Friedman and Long, 1976; Shane, 2000)</w:t>
      </w:r>
      <w:r w:rsidRPr="00D1323A">
        <w:rPr>
          <w:rFonts w:asciiTheme="majorHAnsi" w:hAnsiTheme="majorHAnsi"/>
        </w:rPr>
        <w:fldChar w:fldCharType="end"/>
      </w:r>
      <w:r w:rsidRPr="00D1323A">
        <w:rPr>
          <w:rFonts w:asciiTheme="majorHAnsi" w:hAnsiTheme="majorHAnsi"/>
        </w:rPr>
        <w:t xml:space="preserve"> and eventual breakdown of the glass </w:t>
      </w:r>
      <w:r w:rsidRPr="00D1323A">
        <w:rPr>
          <w:rFonts w:asciiTheme="majorHAnsi" w:hAnsiTheme="majorHAnsi"/>
        </w:rPr>
        <w:lastRenderedPageBreak/>
        <w:t>structure into clay and zeolitic minerals.  The glass in many of the tephra layers in the Lake Mead area has been altered to the point of not being able to yield useful chemical compositions, and in these cases, correlations must be done based on phenocrysts co</w:t>
      </w:r>
      <w:r w:rsidR="00932469" w:rsidRPr="00D1323A">
        <w:rPr>
          <w:rFonts w:asciiTheme="majorHAnsi" w:hAnsiTheme="majorHAnsi"/>
        </w:rPr>
        <w:t xml:space="preserve">ntent and composition, rather than glass.  This method is less quantitative than the glass correlations, but can still yield useful results.  The main correlation tool for non-glass-bearing Lake Mead tephra layers has been feldspar composition.  Many of the Lake Mead tephra layers contain feldspar.  Many contain two feldspar compositions, typically a single sanidine feldspar composition, and a compositional range of plagioclase.  Some contain only sanidine or only plagioclase.  Some contain anorthoclase.  The distribution of feldspar composition can be used as a first indication of correlation or lack of correlation between tephra layers.  Adding to this assessment, the exact composition of sanidine, along with the range of Ba concentrations exhibited, provides more detail on correlations between tephra layers.  The abundance and composition of biotite are also used as secondary indicators of correlation, but much of the biotite in Lake Mead tephra layers has undergone some level of chemical alteration.  </w:t>
      </w:r>
    </w:p>
    <w:p w14:paraId="73D03E7E" w14:textId="77777777" w:rsidR="00641243" w:rsidRPr="00D1323A" w:rsidRDefault="00641243" w:rsidP="00A86D5F">
      <w:pPr>
        <w:spacing w:line="480" w:lineRule="auto"/>
        <w:ind w:firstLine="720"/>
        <w:rPr>
          <w:rFonts w:asciiTheme="majorHAnsi" w:hAnsiTheme="majorHAnsi"/>
        </w:rPr>
      </w:pPr>
    </w:p>
    <w:p w14:paraId="3FD37EDB" w14:textId="77777777" w:rsidR="00CE621B" w:rsidRPr="00D1323A" w:rsidRDefault="00CE621B" w:rsidP="00CE621B">
      <w:pPr>
        <w:spacing w:line="480" w:lineRule="auto"/>
        <w:rPr>
          <w:rFonts w:asciiTheme="majorHAnsi" w:hAnsiTheme="majorHAnsi"/>
          <w:b/>
        </w:rPr>
      </w:pPr>
      <w:bookmarkStart w:id="0" w:name="OLE_LINK31"/>
      <w:bookmarkStart w:id="1" w:name="OLE_LINK32"/>
      <w:r w:rsidRPr="00D1323A">
        <w:rPr>
          <w:rFonts w:asciiTheme="majorHAnsi" w:hAnsiTheme="majorHAnsi"/>
          <w:b/>
          <w:vertAlign w:val="superscript"/>
        </w:rPr>
        <w:t>40</w:t>
      </w:r>
      <w:r w:rsidRPr="00D1323A">
        <w:rPr>
          <w:rFonts w:asciiTheme="majorHAnsi" w:hAnsiTheme="majorHAnsi"/>
          <w:b/>
        </w:rPr>
        <w:t>Ar/</w:t>
      </w:r>
      <w:r w:rsidRPr="00D1323A">
        <w:rPr>
          <w:rFonts w:asciiTheme="majorHAnsi" w:hAnsiTheme="majorHAnsi"/>
          <w:b/>
          <w:vertAlign w:val="superscript"/>
        </w:rPr>
        <w:t>39</w:t>
      </w:r>
      <w:r w:rsidRPr="00D1323A">
        <w:rPr>
          <w:rFonts w:asciiTheme="majorHAnsi" w:hAnsiTheme="majorHAnsi"/>
          <w:b/>
        </w:rPr>
        <w:t>Ar Geochronology</w:t>
      </w:r>
    </w:p>
    <w:bookmarkEnd w:id="0"/>
    <w:bookmarkEnd w:id="1"/>
    <w:p w14:paraId="2FB67718" w14:textId="7590BB9A" w:rsidR="00CE621B" w:rsidRPr="00D1323A" w:rsidRDefault="00222237" w:rsidP="00CE621B">
      <w:pPr>
        <w:spacing w:line="480" w:lineRule="auto"/>
        <w:ind w:firstLine="720"/>
        <w:rPr>
          <w:rFonts w:asciiTheme="majorHAnsi" w:hAnsiTheme="majorHAnsi"/>
        </w:rPr>
      </w:pPr>
      <w:r w:rsidRPr="00D1323A">
        <w:rPr>
          <w:rFonts w:asciiTheme="majorHAnsi" w:hAnsiTheme="majorHAnsi"/>
        </w:rPr>
        <w:t xml:space="preserve">Mineral separates, including </w:t>
      </w:r>
      <w:r w:rsidR="00CE621B" w:rsidRPr="00D1323A">
        <w:rPr>
          <w:rFonts w:asciiTheme="majorHAnsi" w:hAnsiTheme="majorHAnsi"/>
        </w:rPr>
        <w:t>K-feldspar</w:t>
      </w:r>
      <w:r w:rsidRPr="00D1323A">
        <w:rPr>
          <w:rFonts w:asciiTheme="majorHAnsi" w:hAnsiTheme="majorHAnsi"/>
        </w:rPr>
        <w:t xml:space="preserve">, anorthoclase, and biotite, were </w:t>
      </w:r>
      <w:r w:rsidR="00CE621B" w:rsidRPr="00D1323A">
        <w:rPr>
          <w:rFonts w:asciiTheme="majorHAnsi" w:hAnsiTheme="majorHAnsi"/>
        </w:rPr>
        <w:t>s</w:t>
      </w:r>
      <w:r w:rsidRPr="00D1323A">
        <w:rPr>
          <w:rFonts w:asciiTheme="majorHAnsi" w:hAnsiTheme="majorHAnsi"/>
        </w:rPr>
        <w:t>eparated from tephra samples and</w:t>
      </w:r>
      <w:r w:rsidR="00CE621B" w:rsidRPr="00D1323A">
        <w:rPr>
          <w:rFonts w:asciiTheme="majorHAnsi" w:hAnsiTheme="majorHAnsi"/>
        </w:rPr>
        <w:t xml:space="preserve"> dated using </w:t>
      </w:r>
      <w:bookmarkStart w:id="2" w:name="OLE_LINK24"/>
      <w:bookmarkStart w:id="3" w:name="OLE_LINK25"/>
      <w:bookmarkStart w:id="4" w:name="OLE_LINK28"/>
      <w:r w:rsidR="00CE621B" w:rsidRPr="00D1323A">
        <w:rPr>
          <w:rFonts w:asciiTheme="majorHAnsi" w:hAnsiTheme="majorHAnsi"/>
          <w:vertAlign w:val="superscript"/>
        </w:rPr>
        <w:t>40</w:t>
      </w:r>
      <w:r w:rsidR="00CE621B" w:rsidRPr="00D1323A">
        <w:rPr>
          <w:rFonts w:asciiTheme="majorHAnsi" w:hAnsiTheme="majorHAnsi"/>
        </w:rPr>
        <w:t>Ar/</w:t>
      </w:r>
      <w:r w:rsidR="00CE621B" w:rsidRPr="00D1323A">
        <w:rPr>
          <w:rFonts w:asciiTheme="majorHAnsi" w:hAnsiTheme="majorHAnsi"/>
          <w:vertAlign w:val="superscript"/>
        </w:rPr>
        <w:t>39</w:t>
      </w:r>
      <w:r w:rsidR="00CE621B" w:rsidRPr="00D1323A">
        <w:rPr>
          <w:rFonts w:asciiTheme="majorHAnsi" w:hAnsiTheme="majorHAnsi"/>
        </w:rPr>
        <w:t xml:space="preserve">Ar </w:t>
      </w:r>
      <w:bookmarkEnd w:id="2"/>
      <w:bookmarkEnd w:id="3"/>
      <w:bookmarkEnd w:id="4"/>
      <w:r w:rsidR="00CE621B" w:rsidRPr="00D1323A">
        <w:rPr>
          <w:rFonts w:asciiTheme="majorHAnsi" w:hAnsiTheme="majorHAnsi"/>
        </w:rPr>
        <w:t>techniques at the New Mexico Geochronology Research Laboratory.  Methods are briefly summarized below</w:t>
      </w:r>
      <w:r w:rsidR="00540A68" w:rsidRPr="00D1323A">
        <w:rPr>
          <w:rFonts w:asciiTheme="majorHAnsi" w:hAnsiTheme="majorHAnsi"/>
        </w:rPr>
        <w:t>.</w:t>
      </w:r>
      <w:r w:rsidR="00CE621B" w:rsidRPr="00D1323A">
        <w:rPr>
          <w:rFonts w:asciiTheme="majorHAnsi" w:hAnsiTheme="majorHAnsi"/>
        </w:rPr>
        <w:t xml:space="preserve"> </w:t>
      </w:r>
    </w:p>
    <w:p w14:paraId="6366DD03" w14:textId="6D982DB7" w:rsidR="00CE621B" w:rsidRPr="00D1323A" w:rsidRDefault="00222237" w:rsidP="00AC26A6">
      <w:pPr>
        <w:spacing w:line="480" w:lineRule="auto"/>
        <w:ind w:firstLine="720"/>
        <w:rPr>
          <w:rFonts w:asciiTheme="majorHAnsi" w:hAnsiTheme="majorHAnsi"/>
        </w:rPr>
      </w:pPr>
      <w:r w:rsidRPr="00D1323A">
        <w:rPr>
          <w:rFonts w:asciiTheme="majorHAnsi" w:hAnsiTheme="majorHAnsi"/>
        </w:rPr>
        <w:t xml:space="preserve">Tephra layers at Lake Mead </w:t>
      </w:r>
      <w:r w:rsidR="008D1B1A" w:rsidRPr="00D1323A">
        <w:rPr>
          <w:rFonts w:asciiTheme="majorHAnsi" w:hAnsiTheme="majorHAnsi"/>
        </w:rPr>
        <w:t xml:space="preserve">consist of </w:t>
      </w:r>
      <w:r w:rsidR="00CE621B" w:rsidRPr="00D1323A">
        <w:rPr>
          <w:rFonts w:asciiTheme="majorHAnsi" w:hAnsiTheme="majorHAnsi"/>
        </w:rPr>
        <w:t xml:space="preserve">variable mixtures of </w:t>
      </w:r>
      <w:r w:rsidR="001C5623" w:rsidRPr="00D1323A">
        <w:rPr>
          <w:rFonts w:asciiTheme="majorHAnsi" w:hAnsiTheme="majorHAnsi"/>
        </w:rPr>
        <w:t xml:space="preserve">glass, altered glass </w:t>
      </w:r>
      <w:r w:rsidR="00CE621B" w:rsidRPr="00D1323A">
        <w:rPr>
          <w:rFonts w:asciiTheme="majorHAnsi" w:hAnsiTheme="majorHAnsi"/>
        </w:rPr>
        <w:t xml:space="preserve">and crystals. The majority of the crystals are </w:t>
      </w:r>
      <w:r w:rsidR="001C5623" w:rsidRPr="00D1323A">
        <w:rPr>
          <w:rFonts w:asciiTheme="majorHAnsi" w:hAnsiTheme="majorHAnsi"/>
        </w:rPr>
        <w:t xml:space="preserve">feldspar (including </w:t>
      </w:r>
      <w:r w:rsidR="00CE621B" w:rsidRPr="00D1323A">
        <w:rPr>
          <w:rFonts w:asciiTheme="majorHAnsi" w:hAnsiTheme="majorHAnsi"/>
        </w:rPr>
        <w:t>K-bearing anorthoclase or sanidine feldspar</w:t>
      </w:r>
      <w:r w:rsidR="001C5623" w:rsidRPr="00D1323A">
        <w:rPr>
          <w:rFonts w:asciiTheme="majorHAnsi" w:hAnsiTheme="majorHAnsi"/>
        </w:rPr>
        <w:t>) and biotite</w:t>
      </w:r>
      <w:r w:rsidR="00CE621B" w:rsidRPr="00D1323A">
        <w:rPr>
          <w:rFonts w:asciiTheme="majorHAnsi" w:hAnsiTheme="majorHAnsi"/>
        </w:rPr>
        <w:t xml:space="preserve">. </w:t>
      </w:r>
      <w:bookmarkStart w:id="5" w:name="OLE_LINK22"/>
      <w:bookmarkStart w:id="6" w:name="OLE_LINK23"/>
      <w:r w:rsidR="00CE621B" w:rsidRPr="00D1323A">
        <w:rPr>
          <w:rFonts w:asciiTheme="majorHAnsi" w:hAnsiTheme="majorHAnsi"/>
        </w:rPr>
        <w:t xml:space="preserve">Feldspar crystals in </w:t>
      </w:r>
      <w:bookmarkEnd w:id="5"/>
      <w:bookmarkEnd w:id="6"/>
      <w:r w:rsidR="00CE621B" w:rsidRPr="00D1323A">
        <w:rPr>
          <w:rFonts w:asciiTheme="majorHAnsi" w:hAnsiTheme="majorHAnsi"/>
        </w:rPr>
        <w:t xml:space="preserve">the coarsest </w:t>
      </w:r>
      <w:r w:rsidR="001C5623" w:rsidRPr="00D1323A">
        <w:rPr>
          <w:rFonts w:asciiTheme="majorHAnsi" w:hAnsiTheme="majorHAnsi"/>
        </w:rPr>
        <w:t xml:space="preserve">tephra layers are as large as </w:t>
      </w:r>
      <w:r w:rsidR="001C5623" w:rsidRPr="00D1323A">
        <w:rPr>
          <w:rFonts w:asciiTheme="majorHAnsi" w:hAnsiTheme="majorHAnsi"/>
        </w:rPr>
        <w:lastRenderedPageBreak/>
        <w:t>several m</w:t>
      </w:r>
      <w:r w:rsidR="00CE621B" w:rsidRPr="00D1323A">
        <w:rPr>
          <w:rFonts w:asciiTheme="majorHAnsi" w:hAnsiTheme="majorHAnsi"/>
        </w:rPr>
        <w:t xml:space="preserve">m, although </w:t>
      </w:r>
      <w:r w:rsidR="001C5623" w:rsidRPr="00D1323A">
        <w:rPr>
          <w:rFonts w:asciiTheme="majorHAnsi" w:hAnsiTheme="majorHAnsi"/>
        </w:rPr>
        <w:t>some samples contain very fine (~100 µm) feldspar grains</w:t>
      </w:r>
      <w:r w:rsidR="00CE621B" w:rsidRPr="00D1323A">
        <w:rPr>
          <w:rFonts w:asciiTheme="majorHAnsi" w:hAnsiTheme="majorHAnsi"/>
        </w:rPr>
        <w:t xml:space="preserve">. </w:t>
      </w:r>
      <w:r w:rsidR="001C5623" w:rsidRPr="00D1323A">
        <w:rPr>
          <w:rFonts w:asciiTheme="majorHAnsi" w:hAnsiTheme="majorHAnsi"/>
        </w:rPr>
        <w:t xml:space="preserve"> </w:t>
      </w:r>
      <w:r w:rsidR="00CE621B" w:rsidRPr="00D1323A">
        <w:rPr>
          <w:rFonts w:asciiTheme="majorHAnsi" w:hAnsiTheme="majorHAnsi"/>
        </w:rPr>
        <w:t xml:space="preserve">Some crystals are enclosed within pumice or glass fragments; others occur are free crystals, some with thin glass selvedges. </w:t>
      </w:r>
    </w:p>
    <w:p w14:paraId="34FEBC09" w14:textId="77777777" w:rsidR="003557FC" w:rsidRPr="00D1323A" w:rsidRDefault="003557FC" w:rsidP="00AC26A6">
      <w:pPr>
        <w:spacing w:line="480" w:lineRule="auto"/>
        <w:ind w:firstLine="720"/>
        <w:rPr>
          <w:rFonts w:asciiTheme="majorHAnsi" w:hAnsiTheme="majorHAnsi"/>
        </w:rPr>
      </w:pPr>
      <w:r w:rsidRPr="00D1323A">
        <w:rPr>
          <w:rFonts w:asciiTheme="majorHAnsi" w:hAnsiTheme="majorHAnsi"/>
        </w:rPr>
        <w:t xml:space="preserve">Sanidine was separated by crushing, sieving and washing the samples followed by a 5-minute treatment in dilute HF acid. The sized material was separated for sanidine using standard magnetic and heavy liquid methods. Sample 19-WB-01 did not use heavy liquids but rather the sized material was placed in a dish and immersed in wintergreen oil where sanidine could be easily handpicked while being viewed under a polarizing binocular microscope. Following handpicking, the crystals were thoroughly cleaned in an ultrasonic bath while immersed in acetone to remove the wintergreen oil. Several of the samples contained a significant plagioclase component that was identified by the measured </w:t>
      </w:r>
      <w:r w:rsidRPr="00D1323A">
        <w:rPr>
          <w:rFonts w:asciiTheme="majorHAnsi" w:hAnsiTheme="majorHAnsi"/>
          <w:vertAlign w:val="superscript"/>
        </w:rPr>
        <w:t>37</w:t>
      </w:r>
      <w:r w:rsidRPr="00D1323A">
        <w:rPr>
          <w:rFonts w:asciiTheme="majorHAnsi" w:hAnsiTheme="majorHAnsi"/>
        </w:rPr>
        <w:t>Ar/</w:t>
      </w:r>
      <w:r w:rsidRPr="00D1323A">
        <w:rPr>
          <w:rFonts w:asciiTheme="majorHAnsi" w:hAnsiTheme="majorHAnsi"/>
          <w:vertAlign w:val="superscript"/>
        </w:rPr>
        <w:t>39</w:t>
      </w:r>
      <w:r w:rsidRPr="00D1323A">
        <w:rPr>
          <w:rFonts w:asciiTheme="majorHAnsi" w:hAnsiTheme="majorHAnsi"/>
        </w:rPr>
        <w:t xml:space="preserve">Ar ratio and these plagioclase analyses are not reported. </w:t>
      </w:r>
    </w:p>
    <w:p w14:paraId="2B80881A" w14:textId="77777777" w:rsidR="003557FC" w:rsidRPr="00D1323A" w:rsidRDefault="003557FC" w:rsidP="00AC26A6">
      <w:pPr>
        <w:spacing w:line="480" w:lineRule="auto"/>
        <w:ind w:firstLine="720"/>
        <w:rPr>
          <w:rFonts w:asciiTheme="majorHAnsi" w:hAnsiTheme="majorHAnsi"/>
        </w:rPr>
      </w:pPr>
      <w:r w:rsidRPr="00D1323A">
        <w:rPr>
          <w:rFonts w:asciiTheme="majorHAnsi" w:hAnsiTheme="majorHAnsi"/>
        </w:rPr>
        <w:t xml:space="preserve">The samples were irradiated in 4 separate irradiations at either the USGS TRIGA reactor in Denver, Colorado or the Oregon State Reactor. The irradiation discs are 1” diameter aluminum trays with either 20 or 24 holes drilled around the perimeter. The crystals were placed around the holes along with interlaboratory standard Fish Canyon sanidine (FC-2) that occupied 8 or 10 of the holes in the disc. Six flux monitor grains from each monitor hole were analyzed and the J-values of the unknown locations were determined with a planar fit to the flux monitor locations. FC-2 is assigned an age of 28.201 Ma </w:t>
      </w:r>
      <w:r w:rsidRPr="00D1323A">
        <w:rPr>
          <w:rFonts w:asciiTheme="majorHAnsi" w:hAnsiTheme="majorHAnsi"/>
        </w:rPr>
        <w:fldChar w:fldCharType="begin"/>
      </w:r>
      <w:r w:rsidRPr="00D1323A">
        <w:rPr>
          <w:rFonts w:asciiTheme="majorHAnsi" w:hAnsiTheme="majorHAnsi"/>
        </w:rPr>
        <w:instrText xml:space="preserve"> ADDIN EN.CITE &lt;EndNote&gt;&lt;Cite&gt;&lt;Author&gt;Kuiper&lt;/Author&gt;&lt;Year&gt;2008&lt;/Year&gt;&lt;RecNum&gt;3544&lt;/RecNum&gt;&lt;DisplayText&gt;(Kuiper et al., 2008)&lt;/DisplayText&gt;&lt;record&gt;&lt;rec-number&gt;3544&lt;/rec-number&gt;&lt;foreign-keys&gt;&lt;key app="EN" db-id="zpdxvxfxupvz05e2er6vf0di2wt09xwf22dt" timestamp="1453643017"&gt;3544&lt;/key&gt;&lt;/foreign-keys&gt;&lt;ref-type name="Journal Article"&gt;17&lt;/ref-type&gt;&lt;contributors&gt;&lt;authors&gt;&lt;author&gt;Kuiper, KF&lt;/author&gt;&lt;author&gt;Deino, A&lt;/author&gt;&lt;author&gt;Hilgen, FJ&lt;/author&gt;&lt;author&gt;Krijgsman, W&lt;/author&gt;&lt;author&gt;Renne, PR&lt;/author&gt;&lt;author&gt;Wijbrans, JR&lt;/author&gt;&lt;/authors&gt;&lt;/contributors&gt;&lt;titles&gt;&lt;title&gt;Synchronizing rock clocks of Earth history&lt;/title&gt;&lt;secondary-title&gt;science&lt;/secondary-title&gt;&lt;/titles&gt;&lt;periodical&gt;&lt;full-title&gt;Science&lt;/full-title&gt;&lt;/periodical&gt;&lt;pages&gt;500-504&lt;/pages&gt;&lt;volume&gt;320&lt;/volume&gt;&lt;number&gt;5875&lt;/number&gt;&lt;dates&gt;&lt;year&gt;2008&lt;/year&gt;&lt;/dates&gt;&lt;isbn&gt;0036-8075&lt;/isbn&gt;&lt;urls&gt;&lt;/urls&gt;&lt;/record&gt;&lt;/Cite&gt;&lt;/EndNote&gt;</w:instrText>
      </w:r>
      <w:r w:rsidRPr="00D1323A">
        <w:rPr>
          <w:rFonts w:asciiTheme="majorHAnsi" w:hAnsiTheme="majorHAnsi"/>
        </w:rPr>
        <w:fldChar w:fldCharType="separate"/>
      </w:r>
      <w:r w:rsidRPr="00D1323A">
        <w:rPr>
          <w:rFonts w:asciiTheme="majorHAnsi" w:hAnsiTheme="majorHAnsi"/>
          <w:noProof/>
        </w:rPr>
        <w:t>(Kuiper et al., 2008)</w:t>
      </w:r>
      <w:r w:rsidRPr="00D1323A">
        <w:rPr>
          <w:rFonts w:asciiTheme="majorHAnsi" w:hAnsiTheme="majorHAnsi"/>
        </w:rPr>
        <w:fldChar w:fldCharType="end"/>
      </w:r>
      <w:r w:rsidRPr="00D1323A">
        <w:rPr>
          <w:rFonts w:asciiTheme="majorHAnsi" w:hAnsiTheme="majorHAnsi"/>
        </w:rPr>
        <w:t xml:space="preserve"> and all ages are calculated with a </w:t>
      </w:r>
      <w:r w:rsidRPr="00D1323A">
        <w:rPr>
          <w:rFonts w:asciiTheme="majorHAnsi" w:hAnsiTheme="majorHAnsi"/>
          <w:vertAlign w:val="superscript"/>
        </w:rPr>
        <w:t>40</w:t>
      </w:r>
      <w:r w:rsidRPr="00D1323A">
        <w:rPr>
          <w:rFonts w:asciiTheme="majorHAnsi" w:hAnsiTheme="majorHAnsi"/>
        </w:rPr>
        <w:t xml:space="preserve">K decay constant of 5.463e-10 /a </w:t>
      </w:r>
      <w:r w:rsidRPr="00D1323A">
        <w:rPr>
          <w:rFonts w:asciiTheme="majorHAnsi" w:hAnsiTheme="majorHAnsi"/>
        </w:rPr>
        <w:fldChar w:fldCharType="begin"/>
      </w:r>
      <w:r w:rsidRPr="00D1323A">
        <w:rPr>
          <w:rFonts w:asciiTheme="majorHAnsi" w:hAnsiTheme="majorHAnsi"/>
        </w:rPr>
        <w:instrText xml:space="preserve"> ADDIN EN.CITE &lt;EndNote&gt;&lt;Cite&gt;&lt;Author&gt;Min&lt;/Author&gt;&lt;Year&gt;2000&lt;/Year&gt;&lt;RecNum&gt;3545&lt;/RecNum&gt;&lt;DisplayText&gt;(Min et al., 2000)&lt;/DisplayText&gt;&lt;record&gt;&lt;rec-number&gt;3545&lt;/rec-number&gt;&lt;foreign-keys&gt;&lt;key app="EN" db-id="zpdxvxfxupvz05e2er6vf0di2wt09xwf22dt" timestamp="1453643060"&gt;3545&lt;/key&gt;&lt;/foreign-keys&gt;&lt;ref-type name="Journal Article"&gt;17&lt;/ref-type&gt;&lt;contributors&gt;&lt;authors&gt;&lt;author&gt;Min, Kyoungwon&lt;/author&gt;&lt;author&gt;Mundil, Roland&lt;/author&gt;&lt;author&gt;Renne, Paul R&lt;/author&gt;&lt;author&gt;Ludwig, Kenneth R&lt;/author&gt;&lt;/authors&gt;&lt;/contributors&gt;&lt;titles&gt;&lt;title&gt;A test for systematic errors in 40 Ar/39 Ar geochronology through comparison with U/Pb analysis of a 1.1-Ga rhyolite&lt;/title&gt;&lt;secondary-title&gt;Geochimica et Cosmochimica Acta&lt;/secondary-title&gt;&lt;/titles&gt;&lt;periodical&gt;&lt;full-title&gt;Geochimica Et Cosmochimica Acta&lt;/full-title&gt;&lt;abbr-1&gt;Geochim Cosmochim Ac&lt;/abbr-1&gt;&lt;/periodical&gt;&lt;pages&gt;73-98&lt;/pages&gt;&lt;volume&gt;64&lt;/volume&gt;&lt;number&gt;1&lt;/number&gt;&lt;dates&gt;&lt;year&gt;2000&lt;/year&gt;&lt;/dates&gt;&lt;isbn&gt;0016-7037&lt;/isbn&gt;&lt;urls&gt;&lt;/urls&gt;&lt;/record&gt;&lt;/Cite&gt;&lt;/EndNote&gt;</w:instrText>
      </w:r>
      <w:r w:rsidRPr="00D1323A">
        <w:rPr>
          <w:rFonts w:asciiTheme="majorHAnsi" w:hAnsiTheme="majorHAnsi"/>
        </w:rPr>
        <w:fldChar w:fldCharType="separate"/>
      </w:r>
      <w:r w:rsidRPr="00D1323A">
        <w:rPr>
          <w:rFonts w:asciiTheme="majorHAnsi" w:hAnsiTheme="majorHAnsi"/>
          <w:noProof/>
        </w:rPr>
        <w:t>(Min et al., 2000)</w:t>
      </w:r>
      <w:r w:rsidRPr="00D1323A">
        <w:rPr>
          <w:rFonts w:asciiTheme="majorHAnsi" w:hAnsiTheme="majorHAnsi"/>
        </w:rPr>
        <w:fldChar w:fldCharType="end"/>
      </w:r>
      <w:r w:rsidRPr="00D1323A">
        <w:rPr>
          <w:rFonts w:asciiTheme="majorHAnsi" w:hAnsiTheme="majorHAnsi"/>
        </w:rPr>
        <w:t xml:space="preserve"> while isotope abundances are after </w:t>
      </w:r>
      <w:proofErr w:type="spellStart"/>
      <w:r w:rsidRPr="00D1323A">
        <w:rPr>
          <w:rFonts w:asciiTheme="majorHAnsi" w:hAnsiTheme="majorHAnsi"/>
        </w:rPr>
        <w:t>Steiger</w:t>
      </w:r>
      <w:proofErr w:type="spellEnd"/>
      <w:r w:rsidRPr="00D1323A">
        <w:rPr>
          <w:rFonts w:asciiTheme="majorHAnsi" w:hAnsiTheme="majorHAnsi"/>
        </w:rPr>
        <w:t xml:space="preserve"> and </w:t>
      </w:r>
      <w:proofErr w:type="spellStart"/>
      <w:r w:rsidRPr="00D1323A">
        <w:rPr>
          <w:rFonts w:asciiTheme="majorHAnsi" w:hAnsiTheme="majorHAnsi"/>
        </w:rPr>
        <w:t>Jäger</w:t>
      </w:r>
      <w:proofErr w:type="spellEnd"/>
      <w:r w:rsidRPr="00D1323A">
        <w:rPr>
          <w:rFonts w:asciiTheme="majorHAnsi" w:hAnsiTheme="majorHAnsi"/>
        </w:rPr>
        <w:t xml:space="preserve"> (1977).</w:t>
      </w:r>
    </w:p>
    <w:p w14:paraId="7CF21752" w14:textId="741796AE" w:rsidR="003557FC" w:rsidRPr="00D1323A" w:rsidRDefault="003557FC" w:rsidP="00AC26A6">
      <w:pPr>
        <w:spacing w:line="480" w:lineRule="auto"/>
        <w:ind w:firstLine="720"/>
        <w:rPr>
          <w:rFonts w:asciiTheme="majorHAnsi" w:hAnsiTheme="majorHAnsi"/>
        </w:rPr>
      </w:pPr>
      <w:r w:rsidRPr="00D1323A">
        <w:rPr>
          <w:rFonts w:asciiTheme="majorHAnsi" w:hAnsiTheme="majorHAnsi"/>
        </w:rPr>
        <w:t xml:space="preserve">After irradiation, monitors and unknowns were loaded into either stainless steel or copper trays, evacuated and baked at temperatures of between 100 and 140°C for 4 hours. </w:t>
      </w:r>
      <w:r w:rsidRPr="00D1323A">
        <w:rPr>
          <w:rFonts w:asciiTheme="majorHAnsi" w:hAnsiTheme="majorHAnsi"/>
        </w:rPr>
        <w:lastRenderedPageBreak/>
        <w:t>A CO</w:t>
      </w:r>
      <w:r w:rsidRPr="00D1323A">
        <w:rPr>
          <w:rFonts w:asciiTheme="majorHAnsi" w:hAnsiTheme="majorHAnsi"/>
          <w:vertAlign w:val="subscript"/>
        </w:rPr>
        <w:t xml:space="preserve">2 </w:t>
      </w:r>
      <w:r w:rsidRPr="00D1323A">
        <w:rPr>
          <w:rFonts w:asciiTheme="majorHAnsi" w:hAnsiTheme="majorHAnsi"/>
        </w:rPr>
        <w:t xml:space="preserve">laser was used to fuse the crystals. For 5 of the 6 samples, the extracted gas was analyzed using a Thermo-Fisher Scientific ARGUS VI multi-collector mass spectrometer equipped with five Faraday cups, and one electron multiplier (CDD) operated in ion-counting mode. The configuration has </w:t>
      </w:r>
      <w:r w:rsidRPr="00D1323A">
        <w:rPr>
          <w:rFonts w:asciiTheme="majorHAnsi" w:hAnsiTheme="majorHAnsi"/>
          <w:vertAlign w:val="superscript"/>
        </w:rPr>
        <w:t>40</w:t>
      </w:r>
      <w:r w:rsidRPr="00D1323A">
        <w:rPr>
          <w:rFonts w:asciiTheme="majorHAnsi" w:hAnsiTheme="majorHAnsi"/>
        </w:rPr>
        <w:t xml:space="preserve">Ar, </w:t>
      </w:r>
      <w:r w:rsidRPr="00D1323A">
        <w:rPr>
          <w:rFonts w:asciiTheme="majorHAnsi" w:hAnsiTheme="majorHAnsi"/>
          <w:vertAlign w:val="superscript"/>
        </w:rPr>
        <w:t>39</w:t>
      </w:r>
      <w:r w:rsidRPr="00D1323A">
        <w:rPr>
          <w:rFonts w:asciiTheme="majorHAnsi" w:hAnsiTheme="majorHAnsi"/>
        </w:rPr>
        <w:t xml:space="preserve">Ar, </w:t>
      </w:r>
      <w:r w:rsidRPr="00D1323A">
        <w:rPr>
          <w:rFonts w:asciiTheme="majorHAnsi" w:hAnsiTheme="majorHAnsi"/>
          <w:vertAlign w:val="superscript"/>
        </w:rPr>
        <w:t>38</w:t>
      </w:r>
      <w:r w:rsidRPr="00D1323A">
        <w:rPr>
          <w:rFonts w:asciiTheme="majorHAnsi" w:hAnsiTheme="majorHAnsi"/>
        </w:rPr>
        <w:t xml:space="preserve">Ar, </w:t>
      </w:r>
      <w:r w:rsidRPr="00D1323A">
        <w:rPr>
          <w:rFonts w:asciiTheme="majorHAnsi" w:hAnsiTheme="majorHAnsi"/>
          <w:vertAlign w:val="superscript"/>
        </w:rPr>
        <w:t>37</w:t>
      </w:r>
      <w:r w:rsidRPr="00D1323A">
        <w:rPr>
          <w:rFonts w:asciiTheme="majorHAnsi" w:hAnsiTheme="majorHAnsi"/>
        </w:rPr>
        <w:t xml:space="preserve">Ar and </w:t>
      </w:r>
      <w:r w:rsidRPr="00D1323A">
        <w:rPr>
          <w:rFonts w:asciiTheme="majorHAnsi" w:hAnsiTheme="majorHAnsi"/>
          <w:vertAlign w:val="superscript"/>
        </w:rPr>
        <w:t>36</w:t>
      </w:r>
      <w:r w:rsidRPr="00D1323A">
        <w:rPr>
          <w:rFonts w:asciiTheme="majorHAnsi" w:hAnsiTheme="majorHAnsi"/>
        </w:rPr>
        <w:t>Ar on the H1, Axial, L1, L2, and CDD detectors, respectively. The resistor configurations varied between the samples. For sample 19-WB-01 they   were 10</w:t>
      </w:r>
      <w:r w:rsidRPr="00D1323A">
        <w:rPr>
          <w:rFonts w:asciiTheme="majorHAnsi" w:hAnsiTheme="majorHAnsi"/>
          <w:vertAlign w:val="superscript"/>
        </w:rPr>
        <w:t>13</w:t>
      </w:r>
      <w:r w:rsidRPr="00D1323A">
        <w:rPr>
          <w:rFonts w:asciiTheme="majorHAnsi" w:hAnsiTheme="majorHAnsi"/>
        </w:rPr>
        <w:t xml:space="preserve"> Ohms for </w:t>
      </w:r>
      <w:r w:rsidRPr="00D1323A">
        <w:rPr>
          <w:rFonts w:asciiTheme="majorHAnsi" w:hAnsiTheme="majorHAnsi"/>
          <w:vertAlign w:val="superscript"/>
        </w:rPr>
        <w:t>40</w:t>
      </w:r>
      <w:r w:rsidRPr="00D1323A">
        <w:rPr>
          <w:rFonts w:asciiTheme="majorHAnsi" w:hAnsiTheme="majorHAnsi"/>
        </w:rPr>
        <w:t xml:space="preserve">Ar and </w:t>
      </w:r>
      <w:r w:rsidRPr="00D1323A">
        <w:rPr>
          <w:rFonts w:asciiTheme="majorHAnsi" w:hAnsiTheme="majorHAnsi"/>
          <w:vertAlign w:val="superscript"/>
        </w:rPr>
        <w:t>39</w:t>
      </w:r>
      <w:r w:rsidRPr="00D1323A">
        <w:rPr>
          <w:rFonts w:asciiTheme="majorHAnsi" w:hAnsiTheme="majorHAnsi"/>
        </w:rPr>
        <w:t>Ar, 10</w:t>
      </w:r>
      <w:r w:rsidRPr="00D1323A">
        <w:rPr>
          <w:rFonts w:asciiTheme="majorHAnsi" w:hAnsiTheme="majorHAnsi"/>
          <w:vertAlign w:val="superscript"/>
        </w:rPr>
        <w:t>14</w:t>
      </w:r>
      <w:r w:rsidRPr="00D1323A">
        <w:rPr>
          <w:rFonts w:asciiTheme="majorHAnsi" w:hAnsiTheme="majorHAnsi"/>
        </w:rPr>
        <w:t xml:space="preserve"> Ohms for</w:t>
      </w:r>
      <w:r w:rsidRPr="00D1323A">
        <w:rPr>
          <w:rFonts w:asciiTheme="majorHAnsi" w:hAnsiTheme="majorHAnsi"/>
          <w:vertAlign w:val="superscript"/>
        </w:rPr>
        <w:t xml:space="preserve"> 38</w:t>
      </w:r>
      <w:r w:rsidRPr="00D1323A">
        <w:rPr>
          <w:rFonts w:asciiTheme="majorHAnsi" w:hAnsiTheme="majorHAnsi"/>
        </w:rPr>
        <w:t>Ar and</w:t>
      </w:r>
      <w:r w:rsidRPr="00D1323A">
        <w:rPr>
          <w:rFonts w:asciiTheme="majorHAnsi" w:hAnsiTheme="majorHAnsi"/>
          <w:vertAlign w:val="superscript"/>
        </w:rPr>
        <w:t xml:space="preserve"> 37</w:t>
      </w:r>
      <w:r w:rsidRPr="00D1323A">
        <w:rPr>
          <w:rFonts w:asciiTheme="majorHAnsi" w:hAnsiTheme="majorHAnsi"/>
        </w:rPr>
        <w:t>Ar. For samples 19-WB-42, LMLL-263, LMLL-241 and LMLL-258 all Faradays used 10</w:t>
      </w:r>
      <w:r w:rsidRPr="00D1323A">
        <w:rPr>
          <w:rFonts w:asciiTheme="majorHAnsi" w:hAnsiTheme="majorHAnsi"/>
          <w:vertAlign w:val="superscript"/>
        </w:rPr>
        <w:t>12</w:t>
      </w:r>
      <w:r w:rsidRPr="00D1323A">
        <w:rPr>
          <w:rFonts w:asciiTheme="majorHAnsi" w:hAnsiTheme="majorHAnsi"/>
        </w:rPr>
        <w:t xml:space="preserve"> Ohm resistors. For all ARGUS VI analyses, </w:t>
      </w:r>
      <w:r w:rsidRPr="00D1323A">
        <w:rPr>
          <w:rFonts w:asciiTheme="majorHAnsi" w:hAnsiTheme="majorHAnsi"/>
          <w:vertAlign w:val="superscript"/>
        </w:rPr>
        <w:t>36</w:t>
      </w:r>
      <w:r w:rsidRPr="00D1323A">
        <w:rPr>
          <w:rFonts w:asciiTheme="majorHAnsi" w:hAnsiTheme="majorHAnsi"/>
        </w:rPr>
        <w:t xml:space="preserve">Ar was measured on the CDD that has a dead time of 14 ns. Sample 19-WB-243 utilized an MAP-215-50 mass spectrometer. All isotopes were measured using a </w:t>
      </w:r>
      <w:proofErr w:type="spellStart"/>
      <w:r w:rsidRPr="00D1323A">
        <w:rPr>
          <w:rFonts w:asciiTheme="majorHAnsi" w:hAnsiTheme="majorHAnsi"/>
        </w:rPr>
        <w:t>Balzers</w:t>
      </w:r>
      <w:proofErr w:type="spellEnd"/>
      <w:r w:rsidRPr="00D1323A">
        <w:rPr>
          <w:rFonts w:asciiTheme="majorHAnsi" w:hAnsiTheme="majorHAnsi"/>
        </w:rPr>
        <w:t xml:space="preserve"> SEV-217 electron multiplier for this sample. For the ARGUS VI analyses, the extracted gas was cleaned with two NP 10 getters one operated at 1.6 A and one at room temperature. Gas cleanup occurred during a </w:t>
      </w:r>
      <w:proofErr w:type="gramStart"/>
      <w:r w:rsidRPr="00D1323A">
        <w:rPr>
          <w:rFonts w:asciiTheme="majorHAnsi" w:hAnsiTheme="majorHAnsi"/>
        </w:rPr>
        <w:t>45 fusion</w:t>
      </w:r>
      <w:proofErr w:type="gramEnd"/>
      <w:r w:rsidRPr="00D1323A">
        <w:rPr>
          <w:rFonts w:asciiTheme="majorHAnsi" w:hAnsiTheme="majorHAnsi"/>
        </w:rPr>
        <w:t xml:space="preserve"> followed by 15 seconds of additional gettering.  For the MAP-215-50 analyses, the extracted gas was cleaned with two GP-50 getters</w:t>
      </w:r>
      <w:r w:rsidR="00885B8B" w:rsidRPr="00D1323A">
        <w:rPr>
          <w:rFonts w:asciiTheme="majorHAnsi" w:hAnsiTheme="majorHAnsi"/>
        </w:rPr>
        <w:t>,</w:t>
      </w:r>
      <w:r w:rsidRPr="00D1323A">
        <w:rPr>
          <w:rFonts w:asciiTheme="majorHAnsi" w:hAnsiTheme="majorHAnsi"/>
        </w:rPr>
        <w:t xml:space="preserve"> one operated at 2.0 A and one at room temperature. Gas cleanup occurred during a </w:t>
      </w:r>
      <w:proofErr w:type="gramStart"/>
      <w:r w:rsidRPr="00D1323A">
        <w:rPr>
          <w:rFonts w:asciiTheme="majorHAnsi" w:hAnsiTheme="majorHAnsi"/>
        </w:rPr>
        <w:t>30 fusion</w:t>
      </w:r>
      <w:proofErr w:type="gramEnd"/>
      <w:r w:rsidRPr="00D1323A">
        <w:rPr>
          <w:rFonts w:asciiTheme="majorHAnsi" w:hAnsiTheme="majorHAnsi"/>
        </w:rPr>
        <w:t xml:space="preserve"> followed by 60 seconds of additional gettering.  </w:t>
      </w:r>
    </w:p>
    <w:p w14:paraId="6E75A8BC" w14:textId="752E163E" w:rsidR="003557FC" w:rsidRPr="00D1323A" w:rsidRDefault="003557FC" w:rsidP="00AC26A6">
      <w:pPr>
        <w:spacing w:line="480" w:lineRule="auto"/>
        <w:ind w:firstLine="720"/>
        <w:rPr>
          <w:rFonts w:asciiTheme="majorHAnsi" w:hAnsiTheme="majorHAnsi"/>
        </w:rPr>
      </w:pPr>
      <w:r w:rsidRPr="00D1323A">
        <w:rPr>
          <w:rFonts w:asciiTheme="majorHAnsi" w:hAnsiTheme="majorHAnsi"/>
        </w:rPr>
        <w:t xml:space="preserve">For the ARGUS VI analyses, calibration gases of air and a gas mixture enriched in radiogenic </w:t>
      </w:r>
      <w:r w:rsidRPr="00D1323A">
        <w:rPr>
          <w:rFonts w:asciiTheme="majorHAnsi" w:hAnsiTheme="majorHAnsi"/>
          <w:vertAlign w:val="superscript"/>
        </w:rPr>
        <w:t>40</w:t>
      </w:r>
      <w:r w:rsidRPr="00D1323A">
        <w:rPr>
          <w:rFonts w:asciiTheme="majorHAnsi" w:hAnsiTheme="majorHAnsi"/>
        </w:rPr>
        <w:t xml:space="preserve">Ar along with </w:t>
      </w:r>
      <w:r w:rsidRPr="00D1323A">
        <w:rPr>
          <w:rFonts w:asciiTheme="majorHAnsi" w:hAnsiTheme="majorHAnsi"/>
          <w:vertAlign w:val="superscript"/>
        </w:rPr>
        <w:t>39</w:t>
      </w:r>
      <w:r w:rsidRPr="00D1323A">
        <w:rPr>
          <w:rFonts w:asciiTheme="majorHAnsi" w:hAnsiTheme="majorHAnsi"/>
        </w:rPr>
        <w:t xml:space="preserve">Ar were analyzed interspersed with the analysis to monitor instrument drift and determine detector intercalibration factors. For the MAP-215-50 analyses, air argon was used to determine mass spectrometer discrimination and a power law based on </w:t>
      </w:r>
      <w:r w:rsidRPr="00D1323A">
        <w:rPr>
          <w:rFonts w:asciiTheme="majorHAnsi" w:hAnsiTheme="majorHAnsi"/>
          <w:vertAlign w:val="superscript"/>
        </w:rPr>
        <w:t>40</w:t>
      </w:r>
      <w:r w:rsidRPr="00D1323A">
        <w:rPr>
          <w:rFonts w:asciiTheme="majorHAnsi" w:hAnsiTheme="majorHAnsi"/>
        </w:rPr>
        <w:t>Ar/</w:t>
      </w:r>
      <w:r w:rsidRPr="00D1323A">
        <w:rPr>
          <w:rFonts w:asciiTheme="majorHAnsi" w:hAnsiTheme="majorHAnsi"/>
          <w:vertAlign w:val="superscript"/>
        </w:rPr>
        <w:t>36</w:t>
      </w:r>
      <w:r w:rsidRPr="00D1323A">
        <w:rPr>
          <w:rFonts w:asciiTheme="majorHAnsi" w:hAnsiTheme="majorHAnsi"/>
        </w:rPr>
        <w:t xml:space="preserve">Ar measurements determined the mass discrimination for all isotopes. ARGUS VI data collection was conducted with the in-house </w:t>
      </w:r>
      <w:proofErr w:type="spellStart"/>
      <w:r w:rsidRPr="00D1323A">
        <w:rPr>
          <w:rFonts w:asciiTheme="majorHAnsi" w:hAnsiTheme="majorHAnsi"/>
        </w:rPr>
        <w:t>Pychron</w:t>
      </w:r>
      <w:proofErr w:type="spellEnd"/>
      <w:r w:rsidRPr="00D1323A">
        <w:rPr>
          <w:rFonts w:asciiTheme="majorHAnsi" w:hAnsiTheme="majorHAnsi"/>
        </w:rPr>
        <w:t xml:space="preserve"> software where </w:t>
      </w:r>
      <w:proofErr w:type="spellStart"/>
      <w:r w:rsidRPr="00D1323A">
        <w:rPr>
          <w:rFonts w:asciiTheme="majorHAnsi" w:hAnsiTheme="majorHAnsi"/>
        </w:rPr>
        <w:t>s</w:t>
      </w:r>
      <w:proofErr w:type="spellEnd"/>
      <w:r w:rsidRPr="00D1323A">
        <w:rPr>
          <w:rFonts w:asciiTheme="majorHAnsi" w:hAnsiTheme="majorHAnsi"/>
        </w:rPr>
        <w:t xml:space="preserve"> the MAP-215-50 analyses utilized the program </w:t>
      </w:r>
      <w:proofErr w:type="spellStart"/>
      <w:r w:rsidRPr="00D1323A">
        <w:rPr>
          <w:rFonts w:asciiTheme="majorHAnsi" w:hAnsiTheme="majorHAnsi"/>
        </w:rPr>
        <w:t>MassSpec</w:t>
      </w:r>
      <w:proofErr w:type="spellEnd"/>
      <w:r w:rsidRPr="00D1323A">
        <w:rPr>
          <w:rFonts w:asciiTheme="majorHAnsi" w:hAnsiTheme="majorHAnsi"/>
        </w:rPr>
        <w:t xml:space="preserve"> developed at the Berkeley Geochronology Center. All data reduction utilized </w:t>
      </w:r>
      <w:proofErr w:type="spellStart"/>
      <w:r w:rsidRPr="00D1323A">
        <w:rPr>
          <w:rFonts w:asciiTheme="majorHAnsi" w:hAnsiTheme="majorHAnsi"/>
        </w:rPr>
        <w:t>MassSpec</w:t>
      </w:r>
      <w:proofErr w:type="spellEnd"/>
      <w:r w:rsidRPr="00D1323A">
        <w:rPr>
          <w:rFonts w:asciiTheme="majorHAnsi" w:hAnsiTheme="majorHAnsi"/>
        </w:rPr>
        <w:t xml:space="preserve"> version 7.875. Extraction line </w:t>
      </w:r>
      <w:r w:rsidRPr="00D1323A">
        <w:rPr>
          <w:rFonts w:asciiTheme="majorHAnsi" w:hAnsiTheme="majorHAnsi"/>
        </w:rPr>
        <w:lastRenderedPageBreak/>
        <w:t>blanks that include mass spectrometer background are given in the raw intensity worksheet for each analysis. K-glass and CaF</w:t>
      </w:r>
      <w:r w:rsidRPr="00D1323A">
        <w:rPr>
          <w:rFonts w:asciiTheme="majorHAnsi" w:hAnsiTheme="majorHAnsi"/>
          <w:vertAlign w:val="subscript"/>
        </w:rPr>
        <w:t>2</w:t>
      </w:r>
      <w:r w:rsidRPr="00D1323A">
        <w:rPr>
          <w:rFonts w:asciiTheme="majorHAnsi" w:hAnsiTheme="majorHAnsi"/>
        </w:rPr>
        <w:t xml:space="preserve"> were included in the irradiations to determine interfering reaction correction factors and these values are also included in the raw intensity worksheet as well as the footnotes to the ratio data worksheet.</w:t>
      </w:r>
    </w:p>
    <w:p w14:paraId="32D72F8E" w14:textId="2D5EC4DA" w:rsidR="003557FC" w:rsidRPr="00D1323A" w:rsidRDefault="003557FC" w:rsidP="00D1323A">
      <w:pPr>
        <w:spacing w:line="480" w:lineRule="auto"/>
        <w:ind w:firstLine="720"/>
        <w:rPr>
          <w:rFonts w:asciiTheme="majorHAnsi" w:hAnsiTheme="majorHAnsi"/>
        </w:rPr>
      </w:pPr>
      <w:r w:rsidRPr="00D1323A">
        <w:rPr>
          <w:rFonts w:asciiTheme="majorHAnsi" w:hAnsiTheme="majorHAnsi"/>
        </w:rPr>
        <w:t>The preferred eruption age is calculated based on a weighted mean with a weighting factor being the inverse variance (e.g., Taylor, 1982) and the error is the square root of the sum of 1/σ</w:t>
      </w:r>
      <w:r w:rsidRPr="00D1323A">
        <w:rPr>
          <w:rFonts w:asciiTheme="majorHAnsi" w:hAnsiTheme="majorHAnsi"/>
          <w:vertAlign w:val="superscript"/>
        </w:rPr>
        <w:t xml:space="preserve"> 2</w:t>
      </w:r>
      <w:r w:rsidRPr="00D1323A">
        <w:rPr>
          <w:rFonts w:asciiTheme="majorHAnsi" w:hAnsiTheme="majorHAnsi"/>
        </w:rPr>
        <w:t xml:space="preserve"> values.  The error is also multiplied by the square root of the MSWD for MSWD greater than 1 and errors are reported at 2σ. J-error and irradiation correction factor uncertainties are included in the weighted mean age error. </w:t>
      </w:r>
      <w:r w:rsidR="00641243" w:rsidRPr="00D1323A">
        <w:rPr>
          <w:rFonts w:asciiTheme="majorHAnsi" w:hAnsiTheme="majorHAnsi"/>
        </w:rPr>
        <w:t xml:space="preserve">The analytical data are organized to comply with FAIR data reporting norms (see for instance </w:t>
      </w:r>
      <w:proofErr w:type="spellStart"/>
      <w:r w:rsidR="00641243" w:rsidRPr="00D1323A">
        <w:rPr>
          <w:rFonts w:asciiTheme="majorHAnsi" w:hAnsiTheme="majorHAnsi"/>
        </w:rPr>
        <w:t>Schaen</w:t>
      </w:r>
      <w:proofErr w:type="spellEnd"/>
      <w:r w:rsidR="00641243" w:rsidRPr="00D1323A">
        <w:rPr>
          <w:rFonts w:asciiTheme="majorHAnsi" w:hAnsiTheme="majorHAnsi"/>
        </w:rPr>
        <w:t xml:space="preserve"> et al., 2020).</w:t>
      </w:r>
    </w:p>
    <w:p w14:paraId="021EC889" w14:textId="3944EF0E" w:rsidR="003557FC" w:rsidRDefault="003557FC" w:rsidP="00AC26A6">
      <w:pPr>
        <w:spacing w:line="480" w:lineRule="auto"/>
        <w:ind w:firstLine="720"/>
        <w:rPr>
          <w:rFonts w:asciiTheme="majorHAnsi" w:hAnsiTheme="majorHAnsi"/>
        </w:rPr>
      </w:pPr>
    </w:p>
    <w:p w14:paraId="2493CEEB" w14:textId="24CF8FD6" w:rsidR="00D1323A" w:rsidRDefault="00D1323A">
      <w:pPr>
        <w:spacing w:after="200" w:line="276" w:lineRule="auto"/>
        <w:rPr>
          <w:rFonts w:asciiTheme="majorHAnsi" w:hAnsiTheme="majorHAnsi"/>
        </w:rPr>
      </w:pPr>
      <w:r>
        <w:rPr>
          <w:rFonts w:asciiTheme="majorHAnsi" w:hAnsiTheme="majorHAnsi"/>
        </w:rPr>
        <w:br w:type="page"/>
      </w:r>
    </w:p>
    <w:p w14:paraId="49CDD990" w14:textId="0F025B5D" w:rsidR="00D1323A" w:rsidRPr="00D1323A" w:rsidRDefault="00D1323A" w:rsidP="00AC26A6">
      <w:pPr>
        <w:spacing w:line="480" w:lineRule="auto"/>
        <w:ind w:firstLine="720"/>
        <w:rPr>
          <w:rFonts w:asciiTheme="majorHAnsi" w:hAnsiTheme="majorHAnsi"/>
        </w:rPr>
      </w:pPr>
      <w:r>
        <w:rPr>
          <w:rFonts w:asciiTheme="majorHAnsi" w:hAnsiTheme="majorHAnsi"/>
          <w:noProof/>
        </w:rPr>
        <w:lastRenderedPageBreak/>
        <w:drawing>
          <wp:inline distT="0" distB="0" distL="0" distR="0" wp14:anchorId="6877C1FE" wp14:editId="408A6A8E">
            <wp:extent cx="4251627" cy="823627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rotWithShape="1">
                    <a:blip r:embed="rId6"/>
                    <a:srcRect l="18156" r="19658" b="6912"/>
                    <a:stretch/>
                  </pic:blipFill>
                  <pic:spPr bwMode="auto">
                    <a:xfrm>
                      <a:off x="0" y="0"/>
                      <a:ext cx="4254559" cy="8241954"/>
                    </a:xfrm>
                    <a:prstGeom prst="rect">
                      <a:avLst/>
                    </a:prstGeom>
                    <a:ln>
                      <a:noFill/>
                    </a:ln>
                    <a:extLst>
                      <a:ext uri="{53640926-AAD7-44D8-BBD7-CCE9431645EC}">
                        <a14:shadowObscured xmlns:a14="http://schemas.microsoft.com/office/drawing/2010/main"/>
                      </a:ext>
                    </a:extLst>
                  </pic:spPr>
                </pic:pic>
              </a:graphicData>
            </a:graphic>
          </wp:inline>
        </w:drawing>
      </w:r>
    </w:p>
    <w:p w14:paraId="6854EE81" w14:textId="77777777" w:rsidR="00D1323A" w:rsidRDefault="00D1323A" w:rsidP="007F6A6B">
      <w:pPr>
        <w:rPr>
          <w:rFonts w:asciiTheme="majorHAnsi" w:hAnsiTheme="majorHAnsi"/>
          <w:b/>
        </w:rPr>
      </w:pPr>
    </w:p>
    <w:p w14:paraId="7C39B552" w14:textId="2F0184EB" w:rsidR="004B4E28" w:rsidRPr="00D1323A" w:rsidRDefault="005E2AFC" w:rsidP="007F6A6B">
      <w:pPr>
        <w:rPr>
          <w:rFonts w:asciiTheme="majorHAnsi" w:hAnsiTheme="majorHAnsi"/>
          <w:b/>
        </w:rPr>
      </w:pPr>
      <w:r w:rsidRPr="00D1323A">
        <w:rPr>
          <w:rFonts w:asciiTheme="majorHAnsi" w:hAnsiTheme="majorHAnsi"/>
          <w:b/>
        </w:rPr>
        <w:t>References</w:t>
      </w:r>
    </w:p>
    <w:p w14:paraId="064058CC" w14:textId="77777777" w:rsidR="00A86D5F" w:rsidRPr="00D1323A" w:rsidRDefault="00A86D5F" w:rsidP="007F6A6B">
      <w:pPr>
        <w:rPr>
          <w:rFonts w:asciiTheme="majorHAnsi" w:hAnsiTheme="majorHAnsi"/>
          <w:b/>
        </w:rPr>
      </w:pPr>
    </w:p>
    <w:p w14:paraId="7552B20B" w14:textId="77777777" w:rsidR="00A86D5F" w:rsidRPr="00D1323A" w:rsidRDefault="00A86D5F" w:rsidP="00A86D5F">
      <w:pPr>
        <w:widowControl w:val="0"/>
        <w:autoSpaceDE w:val="0"/>
        <w:autoSpaceDN w:val="0"/>
        <w:adjustRightInd w:val="0"/>
        <w:ind w:left="960" w:hanging="960"/>
        <w:rPr>
          <w:rFonts w:asciiTheme="majorHAnsi" w:eastAsiaTheme="minorHAnsi" w:hAnsiTheme="majorHAnsi" w:cs="Arial"/>
        </w:rPr>
      </w:pPr>
      <w:proofErr w:type="spellStart"/>
      <w:r w:rsidRPr="00D1323A">
        <w:rPr>
          <w:rFonts w:asciiTheme="majorHAnsi" w:eastAsiaTheme="minorHAnsi" w:hAnsiTheme="majorHAnsi" w:cs="Arial"/>
        </w:rPr>
        <w:t>Cerling</w:t>
      </w:r>
      <w:proofErr w:type="spellEnd"/>
      <w:r w:rsidRPr="00D1323A">
        <w:rPr>
          <w:rFonts w:asciiTheme="majorHAnsi" w:eastAsiaTheme="minorHAnsi" w:hAnsiTheme="majorHAnsi" w:cs="Arial"/>
        </w:rPr>
        <w:t xml:space="preserve">, T. E., Brown, F. H., and Bowman, J. R., 1985, Low temperature alteration of volcanic glass: Hydration, Na, K, </w:t>
      </w:r>
      <w:r w:rsidRPr="00D1323A">
        <w:rPr>
          <w:rFonts w:asciiTheme="majorHAnsi" w:eastAsiaTheme="minorHAnsi" w:hAnsiTheme="majorHAnsi" w:cs="Arial"/>
          <w:vertAlign w:val="superscript"/>
        </w:rPr>
        <w:t>18</w:t>
      </w:r>
      <w:r w:rsidRPr="00D1323A">
        <w:rPr>
          <w:rFonts w:asciiTheme="majorHAnsi" w:eastAsiaTheme="minorHAnsi" w:hAnsiTheme="majorHAnsi" w:cs="Arial"/>
        </w:rPr>
        <w:t xml:space="preserve">O, and </w:t>
      </w:r>
      <w:proofErr w:type="spellStart"/>
      <w:r w:rsidRPr="00D1323A">
        <w:rPr>
          <w:rFonts w:asciiTheme="majorHAnsi" w:eastAsiaTheme="minorHAnsi" w:hAnsiTheme="majorHAnsi" w:cs="Arial"/>
        </w:rPr>
        <w:t>Ar</w:t>
      </w:r>
      <w:proofErr w:type="spellEnd"/>
      <w:r w:rsidRPr="00D1323A">
        <w:rPr>
          <w:rFonts w:asciiTheme="majorHAnsi" w:eastAsiaTheme="minorHAnsi" w:hAnsiTheme="majorHAnsi" w:cs="Arial"/>
        </w:rPr>
        <w:t xml:space="preserve"> mobility: Chemical Geology, v. 52, p. 281-293.</w:t>
      </w:r>
    </w:p>
    <w:p w14:paraId="06DE29AE" w14:textId="77777777" w:rsidR="006C206F" w:rsidRPr="00D1323A" w:rsidRDefault="006C206F" w:rsidP="00070C53">
      <w:pPr>
        <w:widowControl w:val="0"/>
        <w:autoSpaceDE w:val="0"/>
        <w:autoSpaceDN w:val="0"/>
        <w:adjustRightInd w:val="0"/>
        <w:rPr>
          <w:rFonts w:asciiTheme="majorHAnsi" w:eastAsiaTheme="minorHAnsi" w:hAnsiTheme="majorHAnsi" w:cs="Palatino"/>
        </w:rPr>
      </w:pPr>
    </w:p>
    <w:p w14:paraId="13F85692" w14:textId="77777777" w:rsidR="00A86D5F" w:rsidRPr="00D1323A" w:rsidRDefault="00A86D5F" w:rsidP="00A86D5F">
      <w:pPr>
        <w:widowControl w:val="0"/>
        <w:autoSpaceDE w:val="0"/>
        <w:autoSpaceDN w:val="0"/>
        <w:adjustRightInd w:val="0"/>
        <w:ind w:left="960" w:hanging="960"/>
        <w:rPr>
          <w:rFonts w:asciiTheme="majorHAnsi" w:eastAsiaTheme="minorHAnsi" w:hAnsiTheme="majorHAnsi" w:cs="Arial"/>
        </w:rPr>
      </w:pPr>
      <w:r w:rsidRPr="00D1323A">
        <w:rPr>
          <w:rFonts w:asciiTheme="majorHAnsi" w:eastAsiaTheme="minorHAnsi" w:hAnsiTheme="majorHAnsi" w:cs="Arial"/>
        </w:rPr>
        <w:t xml:space="preserve">Dunbar, N., Zielinski, G., and </w:t>
      </w:r>
      <w:proofErr w:type="spellStart"/>
      <w:r w:rsidRPr="00D1323A">
        <w:rPr>
          <w:rFonts w:asciiTheme="majorHAnsi" w:eastAsiaTheme="minorHAnsi" w:hAnsiTheme="majorHAnsi" w:cs="Arial"/>
        </w:rPr>
        <w:t>Voisins</w:t>
      </w:r>
      <w:proofErr w:type="spellEnd"/>
      <w:r w:rsidRPr="00D1323A">
        <w:rPr>
          <w:rFonts w:asciiTheme="majorHAnsi" w:eastAsiaTheme="minorHAnsi" w:hAnsiTheme="majorHAnsi" w:cs="Arial"/>
        </w:rPr>
        <w:t xml:space="preserve">, D., 2003, Tephra layers in the </w:t>
      </w:r>
      <w:proofErr w:type="spellStart"/>
      <w:r w:rsidRPr="00D1323A">
        <w:rPr>
          <w:rFonts w:asciiTheme="majorHAnsi" w:eastAsiaTheme="minorHAnsi" w:hAnsiTheme="majorHAnsi" w:cs="Arial"/>
        </w:rPr>
        <w:t>Siple</w:t>
      </w:r>
      <w:proofErr w:type="spellEnd"/>
      <w:r w:rsidRPr="00D1323A">
        <w:rPr>
          <w:rFonts w:asciiTheme="majorHAnsi" w:eastAsiaTheme="minorHAnsi" w:hAnsiTheme="majorHAnsi" w:cs="Arial"/>
        </w:rPr>
        <w:t xml:space="preserve"> Dome and Taylor Dome ice cores, Antarctica: Sources and correlations: Journal of Geophysical Research, v. 108, no. B8, p. 2374-2385.</w:t>
      </w:r>
    </w:p>
    <w:p w14:paraId="13F1A09A" w14:textId="77777777" w:rsidR="006C206F" w:rsidRPr="00D1323A" w:rsidRDefault="006C206F" w:rsidP="00A86D5F">
      <w:pPr>
        <w:widowControl w:val="0"/>
        <w:autoSpaceDE w:val="0"/>
        <w:autoSpaceDN w:val="0"/>
        <w:adjustRightInd w:val="0"/>
        <w:ind w:left="960" w:hanging="960"/>
        <w:rPr>
          <w:rFonts w:asciiTheme="majorHAnsi" w:eastAsiaTheme="minorHAnsi" w:hAnsiTheme="majorHAnsi" w:cs="Palatino"/>
        </w:rPr>
      </w:pPr>
    </w:p>
    <w:p w14:paraId="391DED91" w14:textId="77777777" w:rsidR="00A86D5F" w:rsidRPr="00D1323A" w:rsidRDefault="00A86D5F" w:rsidP="00A86D5F">
      <w:pPr>
        <w:widowControl w:val="0"/>
        <w:autoSpaceDE w:val="0"/>
        <w:autoSpaceDN w:val="0"/>
        <w:adjustRightInd w:val="0"/>
        <w:ind w:left="960" w:hanging="960"/>
        <w:rPr>
          <w:rFonts w:asciiTheme="majorHAnsi" w:eastAsiaTheme="minorHAnsi" w:hAnsiTheme="majorHAnsi" w:cs="Arial"/>
        </w:rPr>
      </w:pPr>
      <w:r w:rsidRPr="00D1323A">
        <w:rPr>
          <w:rFonts w:asciiTheme="majorHAnsi" w:eastAsiaTheme="minorHAnsi" w:hAnsiTheme="majorHAnsi" w:cs="Arial"/>
        </w:rPr>
        <w:t>Friedman, I., and Long, W., 1976, Hydration rate of obsidian: Science, v. 191, p. 347-352.</w:t>
      </w:r>
    </w:p>
    <w:p w14:paraId="085F2BF3" w14:textId="77777777" w:rsidR="006C206F" w:rsidRPr="00D1323A" w:rsidRDefault="006C206F" w:rsidP="00A86D5F">
      <w:pPr>
        <w:widowControl w:val="0"/>
        <w:autoSpaceDE w:val="0"/>
        <w:autoSpaceDN w:val="0"/>
        <w:adjustRightInd w:val="0"/>
        <w:ind w:left="960" w:hanging="960"/>
        <w:rPr>
          <w:rFonts w:asciiTheme="majorHAnsi" w:eastAsiaTheme="minorHAnsi" w:hAnsiTheme="majorHAnsi" w:cs="Palatino"/>
        </w:rPr>
      </w:pPr>
    </w:p>
    <w:p w14:paraId="19E80181" w14:textId="77777777" w:rsidR="00865768" w:rsidRPr="00D1323A" w:rsidRDefault="00865768" w:rsidP="00865768">
      <w:pPr>
        <w:widowControl w:val="0"/>
        <w:autoSpaceDE w:val="0"/>
        <w:autoSpaceDN w:val="0"/>
        <w:adjustRightInd w:val="0"/>
        <w:rPr>
          <w:rFonts w:asciiTheme="majorHAnsi" w:eastAsiaTheme="minorHAnsi" w:hAnsiTheme="majorHAnsi"/>
        </w:rPr>
      </w:pPr>
      <w:r w:rsidRPr="00D1323A">
        <w:rPr>
          <w:rFonts w:asciiTheme="majorHAnsi" w:eastAsiaTheme="minorHAnsi" w:hAnsiTheme="majorHAnsi"/>
        </w:rPr>
        <w:t xml:space="preserve">Kuiper, K.F., </w:t>
      </w:r>
      <w:proofErr w:type="spellStart"/>
      <w:r w:rsidRPr="00D1323A">
        <w:rPr>
          <w:rFonts w:asciiTheme="majorHAnsi" w:eastAsiaTheme="minorHAnsi" w:hAnsiTheme="majorHAnsi"/>
        </w:rPr>
        <w:t>Deino</w:t>
      </w:r>
      <w:proofErr w:type="spellEnd"/>
      <w:r w:rsidRPr="00D1323A">
        <w:rPr>
          <w:rFonts w:asciiTheme="majorHAnsi" w:eastAsiaTheme="minorHAnsi" w:hAnsiTheme="majorHAnsi"/>
        </w:rPr>
        <w:t xml:space="preserve">, A., </w:t>
      </w:r>
      <w:proofErr w:type="spellStart"/>
      <w:r w:rsidRPr="00D1323A">
        <w:rPr>
          <w:rFonts w:asciiTheme="majorHAnsi" w:eastAsiaTheme="minorHAnsi" w:hAnsiTheme="majorHAnsi"/>
        </w:rPr>
        <w:t>Hilgen</w:t>
      </w:r>
      <w:proofErr w:type="spellEnd"/>
      <w:r w:rsidRPr="00D1323A">
        <w:rPr>
          <w:rFonts w:asciiTheme="majorHAnsi" w:eastAsiaTheme="minorHAnsi" w:hAnsiTheme="majorHAnsi"/>
        </w:rPr>
        <w:t xml:space="preserve">, F.J., </w:t>
      </w:r>
      <w:proofErr w:type="spellStart"/>
      <w:r w:rsidRPr="00D1323A">
        <w:rPr>
          <w:rFonts w:asciiTheme="majorHAnsi" w:eastAsiaTheme="minorHAnsi" w:hAnsiTheme="majorHAnsi"/>
        </w:rPr>
        <w:t>Krijgsman</w:t>
      </w:r>
      <w:proofErr w:type="spellEnd"/>
      <w:r w:rsidRPr="00D1323A">
        <w:rPr>
          <w:rFonts w:asciiTheme="majorHAnsi" w:eastAsiaTheme="minorHAnsi" w:hAnsiTheme="majorHAnsi"/>
        </w:rPr>
        <w:t xml:space="preserve">, W., </w:t>
      </w:r>
      <w:proofErr w:type="spellStart"/>
      <w:r w:rsidRPr="00D1323A">
        <w:rPr>
          <w:rFonts w:asciiTheme="majorHAnsi" w:eastAsiaTheme="minorHAnsi" w:hAnsiTheme="majorHAnsi"/>
        </w:rPr>
        <w:t>Renne</w:t>
      </w:r>
      <w:proofErr w:type="spellEnd"/>
      <w:r w:rsidRPr="00D1323A">
        <w:rPr>
          <w:rFonts w:asciiTheme="majorHAnsi" w:eastAsiaTheme="minorHAnsi" w:hAnsiTheme="majorHAnsi"/>
        </w:rPr>
        <w:t xml:space="preserve">, P.R. and </w:t>
      </w:r>
      <w:proofErr w:type="spellStart"/>
      <w:r w:rsidRPr="00D1323A">
        <w:rPr>
          <w:rFonts w:asciiTheme="majorHAnsi" w:eastAsiaTheme="minorHAnsi" w:hAnsiTheme="majorHAnsi"/>
        </w:rPr>
        <w:t>Wijbrans</w:t>
      </w:r>
      <w:proofErr w:type="spellEnd"/>
      <w:r w:rsidRPr="00D1323A">
        <w:rPr>
          <w:rFonts w:asciiTheme="majorHAnsi" w:eastAsiaTheme="minorHAnsi" w:hAnsiTheme="majorHAnsi"/>
        </w:rPr>
        <w:t>, J.R.,</w:t>
      </w:r>
    </w:p>
    <w:p w14:paraId="14D597A9" w14:textId="7496487D" w:rsidR="00865768" w:rsidRPr="00D1323A" w:rsidRDefault="00865768" w:rsidP="006C206F">
      <w:pPr>
        <w:widowControl w:val="0"/>
        <w:autoSpaceDE w:val="0"/>
        <w:autoSpaceDN w:val="0"/>
        <w:adjustRightInd w:val="0"/>
        <w:ind w:left="960" w:hanging="240"/>
        <w:rPr>
          <w:rFonts w:asciiTheme="majorHAnsi" w:eastAsiaTheme="minorHAnsi" w:hAnsiTheme="majorHAnsi"/>
        </w:rPr>
      </w:pPr>
      <w:r w:rsidRPr="00D1323A">
        <w:rPr>
          <w:rFonts w:asciiTheme="majorHAnsi" w:eastAsiaTheme="minorHAnsi" w:hAnsiTheme="majorHAnsi"/>
        </w:rPr>
        <w:t>2008, Synchronizing rock clocks of earth history: Science, v. 320, p. 500-504.</w:t>
      </w:r>
    </w:p>
    <w:p w14:paraId="4467E69C" w14:textId="77777777" w:rsidR="00885B8B" w:rsidRPr="00D1323A" w:rsidRDefault="00885B8B" w:rsidP="006C206F">
      <w:pPr>
        <w:widowControl w:val="0"/>
        <w:autoSpaceDE w:val="0"/>
        <w:autoSpaceDN w:val="0"/>
        <w:adjustRightInd w:val="0"/>
        <w:ind w:left="960" w:hanging="240"/>
        <w:rPr>
          <w:rFonts w:asciiTheme="majorHAnsi" w:eastAsiaTheme="minorHAnsi" w:hAnsiTheme="majorHAnsi"/>
        </w:rPr>
      </w:pPr>
    </w:p>
    <w:p w14:paraId="3C6209A4" w14:textId="77777777" w:rsidR="00885B8B" w:rsidRPr="00D1323A" w:rsidRDefault="00885B8B" w:rsidP="00885B8B">
      <w:pPr>
        <w:pStyle w:val="BodyTextIndent"/>
        <w:ind w:left="432" w:hanging="432"/>
        <w:rPr>
          <w:rFonts w:asciiTheme="majorHAnsi" w:hAnsiTheme="majorHAnsi"/>
          <w:szCs w:val="24"/>
        </w:rPr>
      </w:pPr>
      <w:r w:rsidRPr="00D1323A">
        <w:rPr>
          <w:rFonts w:asciiTheme="majorHAnsi" w:hAnsiTheme="majorHAnsi"/>
          <w:szCs w:val="24"/>
        </w:rPr>
        <w:t xml:space="preserve">Min, K., </w:t>
      </w:r>
      <w:proofErr w:type="spellStart"/>
      <w:r w:rsidRPr="00D1323A">
        <w:rPr>
          <w:rFonts w:asciiTheme="majorHAnsi" w:hAnsiTheme="majorHAnsi"/>
          <w:szCs w:val="24"/>
        </w:rPr>
        <w:t>Mundil</w:t>
      </w:r>
      <w:proofErr w:type="spellEnd"/>
      <w:r w:rsidRPr="00D1323A">
        <w:rPr>
          <w:rFonts w:asciiTheme="majorHAnsi" w:hAnsiTheme="majorHAnsi"/>
          <w:szCs w:val="24"/>
        </w:rPr>
        <w:t xml:space="preserve">, R., </w:t>
      </w:r>
      <w:proofErr w:type="spellStart"/>
      <w:r w:rsidRPr="00D1323A">
        <w:rPr>
          <w:rFonts w:asciiTheme="majorHAnsi" w:hAnsiTheme="majorHAnsi"/>
          <w:szCs w:val="24"/>
        </w:rPr>
        <w:t>Renne</w:t>
      </w:r>
      <w:proofErr w:type="spellEnd"/>
      <w:r w:rsidRPr="00D1323A">
        <w:rPr>
          <w:rFonts w:asciiTheme="majorHAnsi" w:hAnsiTheme="majorHAnsi"/>
          <w:szCs w:val="24"/>
        </w:rPr>
        <w:t xml:space="preserve">, P. R. and Ludwig, K. R., 2000, A test for systematic errors in </w:t>
      </w:r>
      <w:r w:rsidRPr="00D1323A">
        <w:rPr>
          <w:rFonts w:asciiTheme="majorHAnsi" w:hAnsiTheme="majorHAnsi"/>
          <w:szCs w:val="24"/>
          <w:vertAlign w:val="superscript"/>
        </w:rPr>
        <w:t>40</w:t>
      </w:r>
      <w:r w:rsidRPr="00D1323A">
        <w:rPr>
          <w:rFonts w:asciiTheme="majorHAnsi" w:hAnsiTheme="majorHAnsi"/>
          <w:szCs w:val="24"/>
        </w:rPr>
        <w:t>Ar/</w:t>
      </w:r>
      <w:r w:rsidRPr="00D1323A">
        <w:rPr>
          <w:rFonts w:asciiTheme="majorHAnsi" w:hAnsiTheme="majorHAnsi"/>
          <w:szCs w:val="24"/>
          <w:vertAlign w:val="superscript"/>
        </w:rPr>
        <w:t>39</w:t>
      </w:r>
      <w:r w:rsidRPr="00D1323A">
        <w:rPr>
          <w:rFonts w:asciiTheme="majorHAnsi" w:hAnsiTheme="majorHAnsi"/>
          <w:szCs w:val="24"/>
        </w:rPr>
        <w:t xml:space="preserve">Ar geochronology through comparison with U–Pb analysis of a 1.1 Ga rhyolite. </w:t>
      </w:r>
      <w:proofErr w:type="spellStart"/>
      <w:r w:rsidRPr="00D1323A">
        <w:rPr>
          <w:rFonts w:asciiTheme="majorHAnsi" w:hAnsiTheme="majorHAnsi"/>
          <w:szCs w:val="24"/>
        </w:rPr>
        <w:t>Geochim</w:t>
      </w:r>
      <w:proofErr w:type="spellEnd"/>
      <w:r w:rsidRPr="00D1323A">
        <w:rPr>
          <w:rFonts w:asciiTheme="majorHAnsi" w:hAnsiTheme="majorHAnsi"/>
          <w:szCs w:val="24"/>
        </w:rPr>
        <w:t xml:space="preserve">. </w:t>
      </w:r>
      <w:proofErr w:type="spellStart"/>
      <w:r w:rsidRPr="00D1323A">
        <w:rPr>
          <w:rFonts w:asciiTheme="majorHAnsi" w:hAnsiTheme="majorHAnsi"/>
          <w:szCs w:val="24"/>
        </w:rPr>
        <w:t>Cosmochim</w:t>
      </w:r>
      <w:proofErr w:type="spellEnd"/>
      <w:r w:rsidRPr="00D1323A">
        <w:rPr>
          <w:rFonts w:asciiTheme="majorHAnsi" w:hAnsiTheme="majorHAnsi"/>
          <w:szCs w:val="24"/>
        </w:rPr>
        <w:t>. Acta 64, 73–98.</w:t>
      </w:r>
    </w:p>
    <w:p w14:paraId="4625B2DD" w14:textId="77777777" w:rsidR="006C206F" w:rsidRPr="00D1323A" w:rsidRDefault="006C206F" w:rsidP="006C206F">
      <w:pPr>
        <w:widowControl w:val="0"/>
        <w:autoSpaceDE w:val="0"/>
        <w:autoSpaceDN w:val="0"/>
        <w:adjustRightInd w:val="0"/>
        <w:ind w:left="960" w:hanging="240"/>
        <w:rPr>
          <w:rFonts w:asciiTheme="majorHAnsi" w:eastAsiaTheme="minorHAnsi" w:hAnsiTheme="majorHAnsi"/>
        </w:rPr>
      </w:pPr>
    </w:p>
    <w:p w14:paraId="4C2FA070" w14:textId="68A833A8" w:rsidR="00A86D5F" w:rsidRPr="00D1323A" w:rsidRDefault="00A86D5F" w:rsidP="00865768">
      <w:pPr>
        <w:widowControl w:val="0"/>
        <w:autoSpaceDE w:val="0"/>
        <w:autoSpaceDN w:val="0"/>
        <w:adjustRightInd w:val="0"/>
        <w:ind w:left="960" w:hanging="960"/>
        <w:rPr>
          <w:rFonts w:asciiTheme="majorHAnsi" w:eastAsiaTheme="minorHAnsi" w:hAnsiTheme="majorHAnsi" w:cs="Arial"/>
        </w:rPr>
      </w:pPr>
      <w:r w:rsidRPr="00D1323A">
        <w:rPr>
          <w:rFonts w:asciiTheme="majorHAnsi" w:eastAsiaTheme="minorHAnsi" w:hAnsiTheme="majorHAnsi" w:cs="Arial"/>
        </w:rPr>
        <w:t>Nielsen, C. H., and Sigurdsson, H., 1981, Qualitative methods for electron microprobe analysis of sodium in natural and synthetic glasses: American Mineralogist, v. 66, p. 547-552.</w:t>
      </w:r>
    </w:p>
    <w:p w14:paraId="17D29B49" w14:textId="7D494D3F" w:rsidR="00070C53" w:rsidRPr="00D1323A" w:rsidRDefault="00070C53" w:rsidP="00865768">
      <w:pPr>
        <w:widowControl w:val="0"/>
        <w:autoSpaceDE w:val="0"/>
        <w:autoSpaceDN w:val="0"/>
        <w:adjustRightInd w:val="0"/>
        <w:ind w:left="960" w:hanging="960"/>
        <w:rPr>
          <w:rFonts w:asciiTheme="majorHAnsi" w:eastAsiaTheme="minorHAnsi" w:hAnsiTheme="majorHAnsi" w:cs="Arial"/>
        </w:rPr>
      </w:pPr>
    </w:p>
    <w:p w14:paraId="36BA3788" w14:textId="6EA9C2E9" w:rsidR="002009FB" w:rsidRPr="00D1323A" w:rsidRDefault="00070C53" w:rsidP="002009FB">
      <w:pPr>
        <w:widowControl w:val="0"/>
        <w:autoSpaceDE w:val="0"/>
        <w:autoSpaceDN w:val="0"/>
        <w:adjustRightInd w:val="0"/>
        <w:ind w:left="960" w:hanging="960"/>
        <w:rPr>
          <w:rFonts w:asciiTheme="majorHAnsi" w:eastAsiaTheme="minorHAnsi" w:hAnsiTheme="majorHAnsi" w:cs="Arial"/>
        </w:rPr>
      </w:pPr>
      <w:r w:rsidRPr="00D1323A">
        <w:rPr>
          <w:rFonts w:asciiTheme="majorHAnsi" w:eastAsiaTheme="minorHAnsi" w:hAnsiTheme="majorHAnsi" w:cs="Arial"/>
        </w:rPr>
        <w:t xml:space="preserve">Perkins, </w:t>
      </w:r>
      <w:r w:rsidR="002009FB" w:rsidRPr="00D1323A">
        <w:rPr>
          <w:rFonts w:asciiTheme="majorHAnsi" w:eastAsiaTheme="minorHAnsi" w:hAnsiTheme="majorHAnsi" w:cs="Arial"/>
        </w:rPr>
        <w:t xml:space="preserve">M.E., Nash, W. P., Brown, F. H., Fleck, R. J., </w:t>
      </w:r>
      <w:r w:rsidRPr="00D1323A">
        <w:rPr>
          <w:rFonts w:asciiTheme="majorHAnsi" w:eastAsiaTheme="minorHAnsi" w:hAnsiTheme="majorHAnsi" w:cs="Arial"/>
        </w:rPr>
        <w:t>1995</w:t>
      </w:r>
      <w:r w:rsidR="002009FB" w:rsidRPr="00D1323A">
        <w:rPr>
          <w:rFonts w:asciiTheme="majorHAnsi" w:eastAsiaTheme="minorHAnsi" w:hAnsiTheme="majorHAnsi" w:cs="Arial"/>
        </w:rPr>
        <w:t>,</w:t>
      </w:r>
      <w:r w:rsidR="002009FB" w:rsidRPr="00D1323A">
        <w:rPr>
          <w:rFonts w:asciiTheme="majorHAnsi" w:hAnsiTheme="majorHAnsi"/>
          <w:color w:val="777777"/>
          <w:kern w:val="36"/>
          <w:sz w:val="35"/>
          <w:szCs w:val="35"/>
        </w:rPr>
        <w:t xml:space="preserve"> </w:t>
      </w:r>
      <w:r w:rsidR="002009FB" w:rsidRPr="00D1323A">
        <w:rPr>
          <w:rFonts w:asciiTheme="majorHAnsi" w:eastAsiaTheme="minorHAnsi" w:hAnsiTheme="majorHAnsi" w:cs="Arial"/>
        </w:rPr>
        <w:t xml:space="preserve">Fallout tuffs of Trapper Creek, Idaho; a record of Miocene explosive volcanism in the Snake River plain volcanic province: </w:t>
      </w:r>
      <w:hyperlink r:id="rId7" w:tooltip="Click to search for more items from this journal" w:history="1">
        <w:r w:rsidR="002009FB" w:rsidRPr="00D1323A">
          <w:rPr>
            <w:rStyle w:val="Hyperlink"/>
            <w:rFonts w:asciiTheme="majorHAnsi" w:eastAsiaTheme="minorHAnsi" w:hAnsiTheme="majorHAnsi" w:cs="Arial"/>
            <w:b/>
            <w:bCs/>
          </w:rPr>
          <w:t>Geological Society of America Bulletin</w:t>
        </w:r>
      </w:hyperlink>
      <w:hyperlink r:id="rId8" w:tooltip="Click to search for more items from this issue" w:history="1">
        <w:r w:rsidR="002009FB" w:rsidRPr="00D1323A">
          <w:rPr>
            <w:rStyle w:val="Hyperlink"/>
            <w:rFonts w:asciiTheme="majorHAnsi" w:eastAsiaTheme="minorHAnsi" w:hAnsiTheme="majorHAnsi" w:cs="Arial"/>
          </w:rPr>
          <w:t> V. 107, pp. </w:t>
        </w:r>
      </w:hyperlink>
      <w:r w:rsidR="002009FB" w:rsidRPr="00D1323A">
        <w:rPr>
          <w:rFonts w:asciiTheme="majorHAnsi" w:eastAsiaTheme="minorHAnsi" w:hAnsiTheme="majorHAnsi" w:cs="Arial"/>
        </w:rPr>
        <w:t xml:space="preserve"> 1484-1506. </w:t>
      </w:r>
    </w:p>
    <w:p w14:paraId="7E92096C" w14:textId="77777777" w:rsidR="003A6ADE" w:rsidRPr="00D1323A" w:rsidRDefault="003A6ADE" w:rsidP="002009FB">
      <w:pPr>
        <w:widowControl w:val="0"/>
        <w:autoSpaceDE w:val="0"/>
        <w:autoSpaceDN w:val="0"/>
        <w:adjustRightInd w:val="0"/>
        <w:rPr>
          <w:rFonts w:asciiTheme="majorHAnsi" w:eastAsiaTheme="minorHAnsi" w:hAnsiTheme="majorHAnsi" w:cs="Arial"/>
        </w:rPr>
      </w:pPr>
    </w:p>
    <w:p w14:paraId="5995F6FF" w14:textId="77777777" w:rsidR="00885B8B" w:rsidRPr="00D1323A" w:rsidRDefault="00885B8B" w:rsidP="00885B8B">
      <w:pPr>
        <w:shd w:val="clear" w:color="auto" w:fill="FFFFFF"/>
        <w:ind w:left="432" w:hanging="432"/>
        <w:rPr>
          <w:rFonts w:asciiTheme="majorHAnsi" w:hAnsiTheme="majorHAnsi"/>
          <w:color w:val="555555"/>
        </w:rPr>
      </w:pPr>
      <w:proofErr w:type="spellStart"/>
      <w:r w:rsidRPr="00D1323A">
        <w:rPr>
          <w:rFonts w:asciiTheme="majorHAnsi" w:hAnsiTheme="majorHAnsi"/>
          <w:bCs/>
          <w:color w:val="000000"/>
        </w:rPr>
        <w:t>Schaen</w:t>
      </w:r>
      <w:proofErr w:type="spellEnd"/>
      <w:r w:rsidRPr="00D1323A">
        <w:rPr>
          <w:rFonts w:asciiTheme="majorHAnsi" w:hAnsiTheme="majorHAnsi"/>
          <w:bCs/>
          <w:color w:val="000000"/>
        </w:rPr>
        <w:t xml:space="preserve">, A.J., </w:t>
      </w:r>
      <w:proofErr w:type="spellStart"/>
      <w:r w:rsidRPr="00D1323A">
        <w:rPr>
          <w:rFonts w:asciiTheme="majorHAnsi" w:hAnsiTheme="majorHAnsi"/>
          <w:bCs/>
          <w:color w:val="000000"/>
        </w:rPr>
        <w:t>Jicha</w:t>
      </w:r>
      <w:proofErr w:type="spellEnd"/>
      <w:r w:rsidRPr="00D1323A">
        <w:rPr>
          <w:rFonts w:asciiTheme="majorHAnsi" w:hAnsiTheme="majorHAnsi"/>
          <w:bCs/>
          <w:color w:val="000000"/>
        </w:rPr>
        <w:t xml:space="preserve">, B.R., Hodges, K.V., </w:t>
      </w:r>
      <w:proofErr w:type="spellStart"/>
      <w:r w:rsidRPr="00D1323A">
        <w:rPr>
          <w:rFonts w:asciiTheme="majorHAnsi" w:hAnsiTheme="majorHAnsi"/>
          <w:bCs/>
          <w:color w:val="000000"/>
        </w:rPr>
        <w:t>Vermeesch</w:t>
      </w:r>
      <w:proofErr w:type="spellEnd"/>
      <w:r w:rsidRPr="00D1323A">
        <w:rPr>
          <w:rFonts w:asciiTheme="majorHAnsi" w:hAnsiTheme="majorHAnsi"/>
          <w:bCs/>
          <w:color w:val="000000"/>
        </w:rPr>
        <w:t xml:space="preserve">, P., </w:t>
      </w:r>
      <w:proofErr w:type="spellStart"/>
      <w:r w:rsidRPr="00D1323A">
        <w:rPr>
          <w:rFonts w:asciiTheme="majorHAnsi" w:hAnsiTheme="majorHAnsi"/>
          <w:bCs/>
          <w:color w:val="000000"/>
        </w:rPr>
        <w:t>Stelten</w:t>
      </w:r>
      <w:proofErr w:type="spellEnd"/>
      <w:r w:rsidRPr="00D1323A">
        <w:rPr>
          <w:rFonts w:asciiTheme="majorHAnsi" w:hAnsiTheme="majorHAnsi"/>
          <w:bCs/>
          <w:color w:val="000000"/>
        </w:rPr>
        <w:t xml:space="preserve">, M.E., Mercer, C.M., Phillips, D., Rivera, T.A., Jourdan, F., </w:t>
      </w:r>
      <w:proofErr w:type="spellStart"/>
      <w:r w:rsidRPr="00D1323A">
        <w:rPr>
          <w:rFonts w:asciiTheme="majorHAnsi" w:hAnsiTheme="majorHAnsi"/>
          <w:bCs/>
          <w:color w:val="000000"/>
        </w:rPr>
        <w:t>Matchan</w:t>
      </w:r>
      <w:proofErr w:type="spellEnd"/>
      <w:r w:rsidRPr="00D1323A">
        <w:rPr>
          <w:rFonts w:asciiTheme="majorHAnsi" w:hAnsiTheme="majorHAnsi"/>
          <w:bCs/>
          <w:color w:val="000000"/>
        </w:rPr>
        <w:t xml:space="preserve">, E.L., Hemming, S.R., Morgan L.E., Kelley, S.P., Cassata, W.S., </w:t>
      </w:r>
      <w:proofErr w:type="spellStart"/>
      <w:r w:rsidRPr="00D1323A">
        <w:rPr>
          <w:rFonts w:asciiTheme="majorHAnsi" w:hAnsiTheme="majorHAnsi"/>
          <w:bCs/>
          <w:color w:val="000000"/>
        </w:rPr>
        <w:t>Heizler</w:t>
      </w:r>
      <w:proofErr w:type="spellEnd"/>
      <w:r w:rsidRPr="00D1323A">
        <w:rPr>
          <w:rFonts w:asciiTheme="majorHAnsi" w:hAnsiTheme="majorHAnsi"/>
          <w:bCs/>
          <w:color w:val="000000"/>
        </w:rPr>
        <w:t xml:space="preserve">, M.T., Vasconcelos, P.M., Koppers, A.A.P., Mark, D.F., </w:t>
      </w:r>
      <w:proofErr w:type="spellStart"/>
      <w:r w:rsidRPr="00D1323A">
        <w:rPr>
          <w:rFonts w:asciiTheme="majorHAnsi" w:hAnsiTheme="majorHAnsi"/>
          <w:bCs/>
          <w:color w:val="000000"/>
        </w:rPr>
        <w:t>Niespolo</w:t>
      </w:r>
      <w:proofErr w:type="spellEnd"/>
      <w:r w:rsidRPr="00D1323A">
        <w:rPr>
          <w:rFonts w:asciiTheme="majorHAnsi" w:hAnsiTheme="majorHAnsi"/>
          <w:bCs/>
          <w:color w:val="000000"/>
        </w:rPr>
        <w:t xml:space="preserve">, E.M., Sprain, C.J., </w:t>
      </w:r>
      <w:proofErr w:type="spellStart"/>
      <w:r w:rsidRPr="00D1323A">
        <w:rPr>
          <w:rFonts w:asciiTheme="majorHAnsi" w:hAnsiTheme="majorHAnsi"/>
          <w:bCs/>
          <w:color w:val="000000"/>
        </w:rPr>
        <w:t>Benowitz</w:t>
      </w:r>
      <w:proofErr w:type="spellEnd"/>
      <w:r w:rsidRPr="00D1323A">
        <w:rPr>
          <w:rFonts w:asciiTheme="majorHAnsi" w:hAnsiTheme="majorHAnsi"/>
          <w:bCs/>
          <w:color w:val="000000"/>
        </w:rPr>
        <w:t xml:space="preserve">, J.A., Hames, W.E., Kuiper, K.F., </w:t>
      </w:r>
      <w:proofErr w:type="spellStart"/>
      <w:r w:rsidRPr="00D1323A">
        <w:rPr>
          <w:rFonts w:asciiTheme="majorHAnsi" w:hAnsiTheme="majorHAnsi"/>
          <w:bCs/>
          <w:color w:val="000000"/>
        </w:rPr>
        <w:t>Turrin</w:t>
      </w:r>
      <w:proofErr w:type="spellEnd"/>
      <w:r w:rsidRPr="00D1323A">
        <w:rPr>
          <w:rFonts w:asciiTheme="majorHAnsi" w:hAnsiTheme="majorHAnsi"/>
          <w:bCs/>
          <w:color w:val="000000"/>
        </w:rPr>
        <w:t xml:space="preserve">, B.D., </w:t>
      </w:r>
      <w:proofErr w:type="spellStart"/>
      <w:r w:rsidRPr="00D1323A">
        <w:rPr>
          <w:rFonts w:asciiTheme="majorHAnsi" w:hAnsiTheme="majorHAnsi"/>
          <w:bCs/>
          <w:color w:val="000000"/>
        </w:rPr>
        <w:t>Renne</w:t>
      </w:r>
      <w:proofErr w:type="spellEnd"/>
      <w:r w:rsidRPr="00D1323A">
        <w:rPr>
          <w:rFonts w:asciiTheme="majorHAnsi" w:hAnsiTheme="majorHAnsi"/>
          <w:bCs/>
          <w:color w:val="000000"/>
        </w:rPr>
        <w:t xml:space="preserve">, P.R., Ross, J., </w:t>
      </w:r>
      <w:proofErr w:type="spellStart"/>
      <w:r w:rsidRPr="00D1323A">
        <w:rPr>
          <w:rFonts w:asciiTheme="majorHAnsi" w:hAnsiTheme="majorHAnsi"/>
          <w:bCs/>
          <w:color w:val="000000"/>
        </w:rPr>
        <w:t>Nomade</w:t>
      </w:r>
      <w:proofErr w:type="spellEnd"/>
      <w:r w:rsidRPr="00D1323A">
        <w:rPr>
          <w:rFonts w:asciiTheme="majorHAnsi" w:hAnsiTheme="majorHAnsi"/>
          <w:bCs/>
          <w:color w:val="000000"/>
        </w:rPr>
        <w:t xml:space="preserve">, S., </w:t>
      </w:r>
      <w:proofErr w:type="spellStart"/>
      <w:r w:rsidRPr="00D1323A">
        <w:rPr>
          <w:rFonts w:asciiTheme="majorHAnsi" w:hAnsiTheme="majorHAnsi"/>
          <w:bCs/>
          <w:color w:val="000000"/>
        </w:rPr>
        <w:t>Guillou</w:t>
      </w:r>
      <w:proofErr w:type="spellEnd"/>
      <w:r w:rsidRPr="00D1323A">
        <w:rPr>
          <w:rFonts w:asciiTheme="majorHAnsi" w:hAnsiTheme="majorHAnsi"/>
          <w:bCs/>
          <w:color w:val="000000"/>
        </w:rPr>
        <w:t xml:space="preserve">, H., Laura E. Webb, L.E., Cohen, B.A., Calvert, A.T., Joyce, N., Morgan </w:t>
      </w:r>
      <w:proofErr w:type="spellStart"/>
      <w:r w:rsidRPr="00D1323A">
        <w:rPr>
          <w:rFonts w:asciiTheme="majorHAnsi" w:hAnsiTheme="majorHAnsi"/>
          <w:bCs/>
          <w:color w:val="000000"/>
        </w:rPr>
        <w:t>Ganderød</w:t>
      </w:r>
      <w:proofErr w:type="spellEnd"/>
      <w:r w:rsidRPr="00D1323A">
        <w:rPr>
          <w:rFonts w:asciiTheme="majorHAnsi" w:hAnsiTheme="majorHAnsi"/>
          <w:bCs/>
          <w:color w:val="000000"/>
        </w:rPr>
        <w:t xml:space="preserve">, M., </w:t>
      </w:r>
      <w:proofErr w:type="spellStart"/>
      <w:r w:rsidRPr="00D1323A">
        <w:rPr>
          <w:rFonts w:asciiTheme="majorHAnsi" w:hAnsiTheme="majorHAnsi"/>
          <w:bCs/>
          <w:color w:val="000000"/>
        </w:rPr>
        <w:t>Wijbrans</w:t>
      </w:r>
      <w:proofErr w:type="spellEnd"/>
      <w:r w:rsidRPr="00D1323A">
        <w:rPr>
          <w:rFonts w:asciiTheme="majorHAnsi" w:hAnsiTheme="majorHAnsi"/>
          <w:bCs/>
          <w:color w:val="000000"/>
        </w:rPr>
        <w:t xml:space="preserve">, J., Ishizuka, O.,  He, H., Ramirez, A., </w:t>
      </w:r>
      <w:proofErr w:type="spellStart"/>
      <w:r w:rsidRPr="00D1323A">
        <w:rPr>
          <w:rFonts w:asciiTheme="majorHAnsi" w:hAnsiTheme="majorHAnsi"/>
          <w:bCs/>
          <w:color w:val="000000"/>
        </w:rPr>
        <w:t>Pfänder</w:t>
      </w:r>
      <w:proofErr w:type="spellEnd"/>
      <w:r w:rsidRPr="00D1323A">
        <w:rPr>
          <w:rFonts w:asciiTheme="majorHAnsi" w:hAnsiTheme="majorHAnsi"/>
          <w:bCs/>
          <w:color w:val="000000"/>
        </w:rPr>
        <w:t xml:space="preserve">, J.A., Lopez-Martínez, M., </w:t>
      </w:r>
      <w:proofErr w:type="spellStart"/>
      <w:r w:rsidRPr="00D1323A">
        <w:rPr>
          <w:rFonts w:asciiTheme="majorHAnsi" w:hAnsiTheme="majorHAnsi"/>
          <w:bCs/>
          <w:color w:val="000000"/>
        </w:rPr>
        <w:t>Huaning</w:t>
      </w:r>
      <w:proofErr w:type="spellEnd"/>
      <w:r w:rsidRPr="00D1323A">
        <w:rPr>
          <w:rFonts w:asciiTheme="majorHAnsi" w:hAnsiTheme="majorHAnsi"/>
          <w:bCs/>
          <w:color w:val="000000"/>
        </w:rPr>
        <w:t xml:space="preserve"> </w:t>
      </w:r>
      <w:proofErr w:type="spellStart"/>
      <w:r w:rsidRPr="00D1323A">
        <w:rPr>
          <w:rFonts w:asciiTheme="majorHAnsi" w:hAnsiTheme="majorHAnsi"/>
          <w:bCs/>
          <w:color w:val="000000"/>
        </w:rPr>
        <w:t>Qiu</w:t>
      </w:r>
      <w:proofErr w:type="spellEnd"/>
      <w:r w:rsidRPr="00D1323A">
        <w:rPr>
          <w:rFonts w:asciiTheme="majorHAnsi" w:hAnsiTheme="majorHAnsi"/>
          <w:bCs/>
          <w:color w:val="000000"/>
        </w:rPr>
        <w:t xml:space="preserve">, H., Brad S. Singer, B.S., 2020, </w:t>
      </w:r>
      <w:r w:rsidRPr="00D1323A">
        <w:rPr>
          <w:rFonts w:asciiTheme="majorHAnsi" w:hAnsiTheme="majorHAnsi"/>
          <w:color w:val="000000"/>
        </w:rPr>
        <w:t xml:space="preserve">On the reporting and interpretation of </w:t>
      </w:r>
      <w:r w:rsidRPr="00D1323A">
        <w:rPr>
          <w:rFonts w:asciiTheme="majorHAnsi" w:hAnsiTheme="majorHAnsi"/>
          <w:color w:val="000000"/>
          <w:vertAlign w:val="superscript"/>
        </w:rPr>
        <w:t>40</w:t>
      </w:r>
      <w:r w:rsidRPr="00D1323A">
        <w:rPr>
          <w:rFonts w:asciiTheme="majorHAnsi" w:hAnsiTheme="majorHAnsi"/>
          <w:color w:val="000000"/>
        </w:rPr>
        <w:t>Ar/</w:t>
      </w:r>
      <w:r w:rsidRPr="00D1323A">
        <w:rPr>
          <w:rFonts w:asciiTheme="majorHAnsi" w:hAnsiTheme="majorHAnsi"/>
          <w:color w:val="000000"/>
          <w:vertAlign w:val="superscript"/>
        </w:rPr>
        <w:t>39</w:t>
      </w:r>
      <w:r w:rsidRPr="00D1323A">
        <w:rPr>
          <w:rFonts w:asciiTheme="majorHAnsi" w:hAnsiTheme="majorHAnsi"/>
          <w:color w:val="000000"/>
        </w:rPr>
        <w:t xml:space="preserve">Ar geochronologic data, Geol. Soc. Am. Bull., 133 (3-4), </w:t>
      </w:r>
      <w:r w:rsidRPr="00D1323A">
        <w:rPr>
          <w:rFonts w:asciiTheme="majorHAnsi" w:hAnsiTheme="majorHAnsi"/>
          <w:color w:val="555555"/>
        </w:rPr>
        <w:t>DOI:</w:t>
      </w:r>
      <w:hyperlink r:id="rId9" w:tgtFrame="_blank" w:history="1">
        <w:r w:rsidRPr="00D1323A">
          <w:rPr>
            <w:rFonts w:asciiTheme="majorHAnsi" w:hAnsiTheme="majorHAnsi"/>
            <w:color w:val="0000FF"/>
            <w:u w:val="single"/>
            <w:bdr w:val="none" w:sz="0" w:space="0" w:color="auto" w:frame="1"/>
          </w:rPr>
          <w:t>10.1130/B35560.1</w:t>
        </w:r>
      </w:hyperlink>
    </w:p>
    <w:p w14:paraId="7235EE70" w14:textId="77777777" w:rsidR="006C206F" w:rsidRPr="00D1323A" w:rsidRDefault="006C206F" w:rsidP="00A86D5F">
      <w:pPr>
        <w:widowControl w:val="0"/>
        <w:autoSpaceDE w:val="0"/>
        <w:autoSpaceDN w:val="0"/>
        <w:adjustRightInd w:val="0"/>
        <w:ind w:left="960" w:hanging="960"/>
        <w:rPr>
          <w:rFonts w:asciiTheme="majorHAnsi" w:eastAsiaTheme="minorHAnsi" w:hAnsiTheme="majorHAnsi" w:cs="Arial"/>
          <w:strike/>
        </w:rPr>
      </w:pPr>
    </w:p>
    <w:p w14:paraId="38DC7F88" w14:textId="07878E66" w:rsidR="00A86D5F" w:rsidRPr="00D1323A" w:rsidRDefault="00A86D5F" w:rsidP="00A86D5F">
      <w:pPr>
        <w:widowControl w:val="0"/>
        <w:autoSpaceDE w:val="0"/>
        <w:autoSpaceDN w:val="0"/>
        <w:adjustRightInd w:val="0"/>
        <w:ind w:left="960" w:hanging="960"/>
        <w:rPr>
          <w:rFonts w:asciiTheme="majorHAnsi" w:eastAsiaTheme="minorHAnsi" w:hAnsiTheme="majorHAnsi" w:cs="Arial"/>
        </w:rPr>
      </w:pPr>
      <w:r w:rsidRPr="00D1323A">
        <w:rPr>
          <w:rFonts w:asciiTheme="majorHAnsi" w:eastAsiaTheme="minorHAnsi" w:hAnsiTheme="majorHAnsi" w:cs="Arial"/>
        </w:rPr>
        <w:t xml:space="preserve">Shane, P., 2000, Tephrochronology:  </w:t>
      </w:r>
      <w:proofErr w:type="gramStart"/>
      <w:r w:rsidRPr="00D1323A">
        <w:rPr>
          <w:rFonts w:asciiTheme="majorHAnsi" w:eastAsiaTheme="minorHAnsi" w:hAnsiTheme="majorHAnsi" w:cs="Arial"/>
        </w:rPr>
        <w:t>a</w:t>
      </w:r>
      <w:proofErr w:type="gramEnd"/>
      <w:r w:rsidRPr="00D1323A">
        <w:rPr>
          <w:rFonts w:asciiTheme="majorHAnsi" w:eastAsiaTheme="minorHAnsi" w:hAnsiTheme="majorHAnsi" w:cs="Arial"/>
        </w:rPr>
        <w:t xml:space="preserve"> New Zealand case study: Earth Science Reviews, v. 49, no. 1-4, p. 223-259.</w:t>
      </w:r>
    </w:p>
    <w:p w14:paraId="766EA3D6" w14:textId="77777777" w:rsidR="00885B8B" w:rsidRPr="00D1323A" w:rsidRDefault="00885B8B" w:rsidP="00A86D5F">
      <w:pPr>
        <w:widowControl w:val="0"/>
        <w:autoSpaceDE w:val="0"/>
        <w:autoSpaceDN w:val="0"/>
        <w:adjustRightInd w:val="0"/>
        <w:ind w:left="960" w:hanging="960"/>
        <w:rPr>
          <w:rFonts w:asciiTheme="majorHAnsi" w:eastAsiaTheme="minorHAnsi" w:hAnsiTheme="majorHAnsi" w:cs="Palatino"/>
        </w:rPr>
      </w:pPr>
    </w:p>
    <w:p w14:paraId="1EEF9417" w14:textId="28C796F8" w:rsidR="00885B8B" w:rsidRPr="00D1323A" w:rsidRDefault="00A86D5F" w:rsidP="00885B8B">
      <w:pPr>
        <w:pStyle w:val="Normal2"/>
        <w:spacing w:after="0" w:line="240" w:lineRule="auto"/>
        <w:ind w:left="432" w:hanging="432"/>
        <w:rPr>
          <w:rFonts w:asciiTheme="majorHAnsi" w:hAnsiTheme="majorHAnsi"/>
          <w:sz w:val="24"/>
          <w:szCs w:val="24"/>
        </w:rPr>
      </w:pPr>
      <w:r w:rsidRPr="00D1323A">
        <w:rPr>
          <w:rFonts w:asciiTheme="majorHAnsi" w:eastAsiaTheme="minorHAnsi" w:hAnsiTheme="majorHAnsi" w:cs="Palatino"/>
          <w:sz w:val="24"/>
          <w:szCs w:val="24"/>
        </w:rPr>
        <w:t> </w:t>
      </w:r>
      <w:proofErr w:type="spellStart"/>
      <w:r w:rsidR="00885B8B" w:rsidRPr="00D1323A">
        <w:rPr>
          <w:rFonts w:asciiTheme="majorHAnsi" w:hAnsiTheme="majorHAnsi"/>
          <w:sz w:val="24"/>
          <w:szCs w:val="24"/>
        </w:rPr>
        <w:t>Steiger</w:t>
      </w:r>
      <w:proofErr w:type="spellEnd"/>
      <w:r w:rsidR="00885B8B" w:rsidRPr="00D1323A">
        <w:rPr>
          <w:rFonts w:asciiTheme="majorHAnsi" w:hAnsiTheme="majorHAnsi"/>
          <w:sz w:val="24"/>
          <w:szCs w:val="24"/>
        </w:rPr>
        <w:t xml:space="preserve">, R.H., and </w:t>
      </w:r>
      <w:proofErr w:type="spellStart"/>
      <w:r w:rsidR="00885B8B" w:rsidRPr="00D1323A">
        <w:rPr>
          <w:rFonts w:asciiTheme="majorHAnsi" w:hAnsiTheme="majorHAnsi"/>
          <w:sz w:val="24"/>
          <w:szCs w:val="24"/>
        </w:rPr>
        <w:t>Jäger</w:t>
      </w:r>
      <w:proofErr w:type="spellEnd"/>
      <w:r w:rsidR="00885B8B" w:rsidRPr="00D1323A">
        <w:rPr>
          <w:rFonts w:asciiTheme="majorHAnsi" w:hAnsiTheme="majorHAnsi"/>
          <w:sz w:val="24"/>
          <w:szCs w:val="24"/>
        </w:rPr>
        <w:t xml:space="preserve">, E., 1977.  </w:t>
      </w:r>
      <w:proofErr w:type="spellStart"/>
      <w:r w:rsidR="00885B8B" w:rsidRPr="00D1323A">
        <w:rPr>
          <w:rFonts w:asciiTheme="majorHAnsi" w:hAnsiTheme="majorHAnsi"/>
          <w:sz w:val="24"/>
          <w:szCs w:val="24"/>
        </w:rPr>
        <w:t>Subcommission</w:t>
      </w:r>
      <w:proofErr w:type="spellEnd"/>
      <w:r w:rsidR="00885B8B" w:rsidRPr="00D1323A">
        <w:rPr>
          <w:rFonts w:asciiTheme="majorHAnsi" w:hAnsiTheme="majorHAnsi"/>
          <w:sz w:val="24"/>
          <w:szCs w:val="24"/>
        </w:rPr>
        <w:t xml:space="preserve"> on geochronology:  Convention on the use of decay constants in geo- and </w:t>
      </w:r>
      <w:proofErr w:type="spellStart"/>
      <w:r w:rsidR="00885B8B" w:rsidRPr="00D1323A">
        <w:rPr>
          <w:rFonts w:asciiTheme="majorHAnsi" w:hAnsiTheme="majorHAnsi"/>
          <w:sz w:val="24"/>
          <w:szCs w:val="24"/>
        </w:rPr>
        <w:t>cosmochronology</w:t>
      </w:r>
      <w:proofErr w:type="spellEnd"/>
      <w:r w:rsidR="00885B8B" w:rsidRPr="00D1323A">
        <w:rPr>
          <w:rFonts w:asciiTheme="majorHAnsi" w:hAnsiTheme="majorHAnsi"/>
          <w:sz w:val="24"/>
          <w:szCs w:val="24"/>
        </w:rPr>
        <w:t>.  Earth and Planet. Sci. Lett., v. 36, 359-362.</w:t>
      </w:r>
    </w:p>
    <w:p w14:paraId="0BF767DC" w14:textId="77777777" w:rsidR="00885B8B" w:rsidRPr="00D1323A" w:rsidRDefault="00885B8B" w:rsidP="00885B8B">
      <w:pPr>
        <w:pStyle w:val="Normal2"/>
        <w:spacing w:after="0" w:line="240" w:lineRule="auto"/>
        <w:ind w:left="432" w:hanging="432"/>
        <w:rPr>
          <w:rFonts w:asciiTheme="majorHAnsi" w:hAnsiTheme="majorHAnsi"/>
          <w:sz w:val="24"/>
          <w:szCs w:val="24"/>
        </w:rPr>
      </w:pPr>
    </w:p>
    <w:p w14:paraId="6810F9CA" w14:textId="77777777" w:rsidR="00885B8B" w:rsidRPr="00D1323A" w:rsidRDefault="00885B8B" w:rsidP="00885B8B">
      <w:pPr>
        <w:pStyle w:val="BodyTextIndent"/>
        <w:ind w:left="432" w:hanging="432"/>
        <w:rPr>
          <w:rFonts w:asciiTheme="majorHAnsi" w:hAnsiTheme="majorHAnsi"/>
          <w:szCs w:val="24"/>
        </w:rPr>
      </w:pPr>
      <w:r w:rsidRPr="00D1323A">
        <w:rPr>
          <w:rFonts w:asciiTheme="majorHAnsi" w:hAnsiTheme="majorHAnsi"/>
          <w:szCs w:val="24"/>
        </w:rPr>
        <w:t>Taylor, J.R., 1982.  An Introduction to Error Analysis:  The Study of Uncertainties in Physical Measurements, Univ. Sci. Books, Mill Valley, Calif., 270 p.</w:t>
      </w:r>
    </w:p>
    <w:p w14:paraId="02000465" w14:textId="23DF6FBA" w:rsidR="00960813" w:rsidRPr="00FF65BD" w:rsidRDefault="00960813" w:rsidP="00A86D5F">
      <w:pPr>
        <w:rPr>
          <w:rFonts w:asciiTheme="majorHAnsi" w:hAnsiTheme="majorHAnsi"/>
          <w:b/>
          <w:bCs/>
        </w:rPr>
      </w:pPr>
    </w:p>
    <w:sectPr w:rsidR="00960813" w:rsidRPr="00FF65BD" w:rsidSect="004B4E28">
      <w:footerReference w:type="default" r:id="rId10"/>
      <w:pgSz w:w="12240" w:h="15840"/>
      <w:pgMar w:top="1440" w:right="1440" w:bottom="1440" w:left="1440" w:header="720" w:footer="720" w:gutter="0"/>
      <w:pgNumType w:fmt="numberInDash"/>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A4A39F" w14:textId="77777777" w:rsidR="00045452" w:rsidRDefault="00045452" w:rsidP="007F6A6B">
      <w:r>
        <w:separator/>
      </w:r>
    </w:p>
  </w:endnote>
  <w:endnote w:type="continuationSeparator" w:id="0">
    <w:p w14:paraId="645E5508" w14:textId="77777777" w:rsidR="00045452" w:rsidRDefault="00045452" w:rsidP="007F6A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Palatino">
    <w:altName w:val="Segoe UI Historic"/>
    <w:charset w:val="4D"/>
    <w:family w:val="auto"/>
    <w:pitch w:val="variable"/>
    <w:sig w:usb0="A00002FF" w:usb1="7800205A" w:usb2="14600000" w:usb3="00000000" w:csb0="00000193" w:csb1="00000000"/>
  </w:font>
  <w:font w:name="Lucida Grande">
    <w:altName w:val="Segoe UI"/>
    <w:charset w:val="00"/>
    <w:family w:val="swiss"/>
    <w:pitch w:val="variable"/>
    <w:sig w:usb0="E1000AEF" w:usb1="5000A1FF" w:usb2="00000000" w:usb3="00000000" w:csb0="000001BF" w:csb1="00000000"/>
  </w:font>
  <w:font w:name="Times">
    <w:altName w:val="????????g?"/>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l?r ??fc"/>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4133564"/>
      <w:docPartObj>
        <w:docPartGallery w:val="Page Numbers (Bottom of Page)"/>
        <w:docPartUnique/>
      </w:docPartObj>
    </w:sdtPr>
    <w:sdtEndPr/>
    <w:sdtContent>
      <w:p w14:paraId="5114940D" w14:textId="77777777" w:rsidR="00222237" w:rsidRDefault="00855A4A" w:rsidP="007F6A6B">
        <w:pPr>
          <w:pStyle w:val="Footer"/>
        </w:pPr>
        <w:r>
          <w:fldChar w:fldCharType="begin"/>
        </w:r>
        <w:r>
          <w:instrText xml:space="preserve"> PAGE   \* MERGEFORMAT </w:instrText>
        </w:r>
        <w:r>
          <w:fldChar w:fldCharType="separate"/>
        </w:r>
        <w:r w:rsidR="00E21D3D">
          <w:rPr>
            <w:noProof/>
          </w:rPr>
          <w:t>- 5 -</w:t>
        </w:r>
        <w:r>
          <w:rPr>
            <w:noProof/>
          </w:rPr>
          <w:fldChar w:fldCharType="end"/>
        </w:r>
      </w:p>
    </w:sdtContent>
  </w:sdt>
  <w:p w14:paraId="1D809A4E" w14:textId="77777777" w:rsidR="00222237" w:rsidRDefault="00222237" w:rsidP="007F6A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754064" w14:textId="77777777" w:rsidR="00045452" w:rsidRDefault="00045452" w:rsidP="007F6A6B">
      <w:r>
        <w:separator/>
      </w:r>
    </w:p>
  </w:footnote>
  <w:footnote w:type="continuationSeparator" w:id="0">
    <w:p w14:paraId="4E8E54F3" w14:textId="77777777" w:rsidR="00045452" w:rsidRDefault="00045452" w:rsidP="007F6A6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1133"/>
    <w:rsid w:val="00041D69"/>
    <w:rsid w:val="00045452"/>
    <w:rsid w:val="000639C6"/>
    <w:rsid w:val="00070C53"/>
    <w:rsid w:val="00086F95"/>
    <w:rsid w:val="00095CF0"/>
    <w:rsid w:val="001A479B"/>
    <w:rsid w:val="001C5623"/>
    <w:rsid w:val="001D11D6"/>
    <w:rsid w:val="002009FB"/>
    <w:rsid w:val="00201F42"/>
    <w:rsid w:val="00222237"/>
    <w:rsid w:val="00262F30"/>
    <w:rsid w:val="002B28D7"/>
    <w:rsid w:val="003109B2"/>
    <w:rsid w:val="003557FC"/>
    <w:rsid w:val="003A6ADE"/>
    <w:rsid w:val="003F090F"/>
    <w:rsid w:val="00421AD7"/>
    <w:rsid w:val="00495F1F"/>
    <w:rsid w:val="004A7733"/>
    <w:rsid w:val="004B4A7B"/>
    <w:rsid w:val="004B4E28"/>
    <w:rsid w:val="00540A68"/>
    <w:rsid w:val="005B133E"/>
    <w:rsid w:val="005D3EED"/>
    <w:rsid w:val="005D702A"/>
    <w:rsid w:val="005E2AFC"/>
    <w:rsid w:val="00604E4E"/>
    <w:rsid w:val="00641243"/>
    <w:rsid w:val="006C206F"/>
    <w:rsid w:val="00721133"/>
    <w:rsid w:val="00730F52"/>
    <w:rsid w:val="007F6A6B"/>
    <w:rsid w:val="00820A46"/>
    <w:rsid w:val="00855A4A"/>
    <w:rsid w:val="00865768"/>
    <w:rsid w:val="0087553C"/>
    <w:rsid w:val="00882D40"/>
    <w:rsid w:val="00885B8B"/>
    <w:rsid w:val="008D1B1A"/>
    <w:rsid w:val="008E28DF"/>
    <w:rsid w:val="00932469"/>
    <w:rsid w:val="00960813"/>
    <w:rsid w:val="009F7329"/>
    <w:rsid w:val="00A04CCD"/>
    <w:rsid w:val="00A26030"/>
    <w:rsid w:val="00A40932"/>
    <w:rsid w:val="00A86D5F"/>
    <w:rsid w:val="00AA1880"/>
    <w:rsid w:val="00AC26A6"/>
    <w:rsid w:val="00B22828"/>
    <w:rsid w:val="00CE621B"/>
    <w:rsid w:val="00D1323A"/>
    <w:rsid w:val="00D519DC"/>
    <w:rsid w:val="00D54665"/>
    <w:rsid w:val="00D66057"/>
    <w:rsid w:val="00DA72CD"/>
    <w:rsid w:val="00DD6C90"/>
    <w:rsid w:val="00E16A7F"/>
    <w:rsid w:val="00E21D3D"/>
    <w:rsid w:val="00E32A2A"/>
    <w:rsid w:val="00E47F09"/>
    <w:rsid w:val="00E8386E"/>
    <w:rsid w:val="00EC58C7"/>
    <w:rsid w:val="00ED1178"/>
    <w:rsid w:val="00F107F0"/>
    <w:rsid w:val="00F30EA7"/>
    <w:rsid w:val="00FF65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821A23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CE621B"/>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2009FB"/>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B4E28"/>
    <w:pPr>
      <w:tabs>
        <w:tab w:val="center" w:pos="4680"/>
        <w:tab w:val="right" w:pos="9360"/>
      </w:tabs>
    </w:pPr>
    <w:rPr>
      <w:rFonts w:ascii="Palatino" w:eastAsiaTheme="minorHAnsi" w:hAnsi="Palatino" w:cstheme="minorBidi"/>
    </w:rPr>
  </w:style>
  <w:style w:type="character" w:customStyle="1" w:styleId="HeaderChar">
    <w:name w:val="Header Char"/>
    <w:basedOn w:val="DefaultParagraphFont"/>
    <w:link w:val="Header"/>
    <w:uiPriority w:val="99"/>
    <w:semiHidden/>
    <w:rsid w:val="004B4E28"/>
  </w:style>
  <w:style w:type="paragraph" w:styleId="Footer">
    <w:name w:val="footer"/>
    <w:basedOn w:val="Normal"/>
    <w:link w:val="FooterChar"/>
    <w:uiPriority w:val="99"/>
    <w:unhideWhenUsed/>
    <w:rsid w:val="004B4E28"/>
    <w:pPr>
      <w:tabs>
        <w:tab w:val="center" w:pos="4680"/>
        <w:tab w:val="right" w:pos="9360"/>
      </w:tabs>
    </w:pPr>
    <w:rPr>
      <w:rFonts w:ascii="Palatino" w:eastAsiaTheme="minorHAnsi" w:hAnsi="Palatino" w:cstheme="minorBidi"/>
    </w:rPr>
  </w:style>
  <w:style w:type="character" w:customStyle="1" w:styleId="FooterChar">
    <w:name w:val="Footer Char"/>
    <w:basedOn w:val="DefaultParagraphFont"/>
    <w:link w:val="Footer"/>
    <w:uiPriority w:val="99"/>
    <w:rsid w:val="004B4E28"/>
  </w:style>
  <w:style w:type="paragraph" w:styleId="BalloonText">
    <w:name w:val="Balloon Text"/>
    <w:basedOn w:val="Normal"/>
    <w:link w:val="BalloonTextChar"/>
    <w:uiPriority w:val="99"/>
    <w:semiHidden/>
    <w:unhideWhenUsed/>
    <w:rsid w:val="0086576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65768"/>
    <w:rPr>
      <w:rFonts w:ascii="Lucida Grande" w:eastAsia="Times New Roman" w:hAnsi="Lucida Grande" w:cs="Lucida Grande"/>
      <w:sz w:val="18"/>
      <w:szCs w:val="18"/>
    </w:rPr>
  </w:style>
  <w:style w:type="paragraph" w:styleId="Revision">
    <w:name w:val="Revision"/>
    <w:hidden/>
    <w:uiPriority w:val="99"/>
    <w:semiHidden/>
    <w:rsid w:val="00095CF0"/>
    <w:pPr>
      <w:spacing w:after="0" w:line="240" w:lineRule="auto"/>
    </w:pPr>
    <w:rPr>
      <w:rFonts w:ascii="Times New Roman" w:eastAsia="Times New Roman" w:hAnsi="Times New Roman" w:cs="Times New Roman"/>
      <w:sz w:val="24"/>
      <w:szCs w:val="24"/>
    </w:rPr>
  </w:style>
  <w:style w:type="paragraph" w:styleId="BodyTextIndent">
    <w:name w:val="Body Text Indent"/>
    <w:basedOn w:val="Normal"/>
    <w:link w:val="BodyTextIndentChar"/>
    <w:rsid w:val="00885B8B"/>
    <w:pPr>
      <w:ind w:left="504" w:hanging="504"/>
    </w:pPr>
    <w:rPr>
      <w:rFonts w:ascii="Times" w:hAnsi="Times"/>
      <w:szCs w:val="20"/>
    </w:rPr>
  </w:style>
  <w:style w:type="character" w:customStyle="1" w:styleId="BodyTextIndentChar">
    <w:name w:val="Body Text Indent Char"/>
    <w:basedOn w:val="DefaultParagraphFont"/>
    <w:link w:val="BodyTextIndent"/>
    <w:rsid w:val="00885B8B"/>
    <w:rPr>
      <w:rFonts w:ascii="Times" w:eastAsia="Times New Roman" w:hAnsi="Times" w:cs="Times New Roman"/>
      <w:sz w:val="24"/>
      <w:szCs w:val="20"/>
    </w:rPr>
  </w:style>
  <w:style w:type="paragraph" w:customStyle="1" w:styleId="Normal2">
    <w:name w:val="Normal2"/>
    <w:rsid w:val="00885B8B"/>
    <w:pPr>
      <w:spacing w:after="160" w:line="259" w:lineRule="auto"/>
    </w:pPr>
    <w:rPr>
      <w:rFonts w:ascii="Calibri" w:eastAsia="Calibri" w:hAnsi="Calibri" w:cs="Calibri"/>
    </w:rPr>
  </w:style>
  <w:style w:type="character" w:customStyle="1" w:styleId="Heading1Char">
    <w:name w:val="Heading 1 Char"/>
    <w:basedOn w:val="DefaultParagraphFont"/>
    <w:link w:val="Heading1"/>
    <w:uiPriority w:val="9"/>
    <w:rsid w:val="002009FB"/>
    <w:rPr>
      <w:rFonts w:asciiTheme="majorHAnsi" w:eastAsiaTheme="majorEastAsia" w:hAnsiTheme="majorHAnsi" w:cstheme="majorBidi"/>
      <w:color w:val="365F91" w:themeColor="accent1" w:themeShade="BF"/>
      <w:sz w:val="32"/>
      <w:szCs w:val="32"/>
    </w:rPr>
  </w:style>
  <w:style w:type="character" w:styleId="Hyperlink">
    <w:name w:val="Hyperlink"/>
    <w:basedOn w:val="DefaultParagraphFont"/>
    <w:uiPriority w:val="99"/>
    <w:unhideWhenUsed/>
    <w:rsid w:val="002009FB"/>
    <w:rPr>
      <w:color w:val="0000FF" w:themeColor="hyperlink"/>
      <w:u w:val="single"/>
    </w:rPr>
  </w:style>
  <w:style w:type="character" w:styleId="UnresolvedMention">
    <w:name w:val="Unresolved Mention"/>
    <w:basedOn w:val="DefaultParagraphFont"/>
    <w:uiPriority w:val="99"/>
    <w:rsid w:val="002009FB"/>
    <w:rPr>
      <w:color w:val="605E5C"/>
      <w:shd w:val="clear" w:color="auto" w:fill="E1DFDD"/>
    </w:rPr>
  </w:style>
  <w:style w:type="character" w:styleId="FollowedHyperlink">
    <w:name w:val="FollowedHyperlink"/>
    <w:basedOn w:val="DefaultParagraphFont"/>
    <w:uiPriority w:val="99"/>
    <w:semiHidden/>
    <w:unhideWhenUsed/>
    <w:rsid w:val="002009F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846989">
      <w:bodyDiv w:val="1"/>
      <w:marLeft w:val="0"/>
      <w:marRight w:val="0"/>
      <w:marTop w:val="0"/>
      <w:marBottom w:val="0"/>
      <w:divBdr>
        <w:top w:val="none" w:sz="0" w:space="0" w:color="auto"/>
        <w:left w:val="none" w:sz="0" w:space="0" w:color="auto"/>
        <w:bottom w:val="none" w:sz="0" w:space="0" w:color="auto"/>
        <w:right w:val="none" w:sz="0" w:space="0" w:color="auto"/>
      </w:divBdr>
      <w:divsChild>
        <w:div w:id="2017535233">
          <w:marLeft w:val="0"/>
          <w:marRight w:val="0"/>
          <w:marTop w:val="0"/>
          <w:marBottom w:val="0"/>
          <w:divBdr>
            <w:top w:val="none" w:sz="0" w:space="0" w:color="auto"/>
            <w:left w:val="none" w:sz="0" w:space="0" w:color="auto"/>
            <w:bottom w:val="none" w:sz="0" w:space="0" w:color="auto"/>
            <w:right w:val="none" w:sz="0" w:space="0" w:color="auto"/>
          </w:divBdr>
        </w:div>
        <w:div w:id="930820300">
          <w:marLeft w:val="0"/>
          <w:marRight w:val="0"/>
          <w:marTop w:val="0"/>
          <w:marBottom w:val="0"/>
          <w:divBdr>
            <w:top w:val="none" w:sz="0" w:space="0" w:color="auto"/>
            <w:left w:val="none" w:sz="0" w:space="0" w:color="auto"/>
            <w:bottom w:val="none" w:sz="0" w:space="0" w:color="auto"/>
            <w:right w:val="none" w:sz="0" w:space="0" w:color="auto"/>
          </w:divBdr>
        </w:div>
      </w:divsChild>
    </w:div>
    <w:div w:id="987980631">
      <w:bodyDiv w:val="1"/>
      <w:marLeft w:val="0"/>
      <w:marRight w:val="0"/>
      <w:marTop w:val="0"/>
      <w:marBottom w:val="0"/>
      <w:divBdr>
        <w:top w:val="none" w:sz="0" w:space="0" w:color="auto"/>
        <w:left w:val="none" w:sz="0" w:space="0" w:color="auto"/>
        <w:bottom w:val="none" w:sz="0" w:space="0" w:color="auto"/>
        <w:right w:val="none" w:sz="0" w:space="0" w:color="auto"/>
      </w:divBdr>
      <w:divsChild>
        <w:div w:id="1256981645">
          <w:marLeft w:val="0"/>
          <w:marRight w:val="0"/>
          <w:marTop w:val="0"/>
          <w:marBottom w:val="0"/>
          <w:divBdr>
            <w:top w:val="none" w:sz="0" w:space="0" w:color="auto"/>
            <w:left w:val="none" w:sz="0" w:space="0" w:color="auto"/>
            <w:bottom w:val="none" w:sz="0" w:space="0" w:color="auto"/>
            <w:right w:val="none" w:sz="0" w:space="0" w:color="auto"/>
          </w:divBdr>
        </w:div>
        <w:div w:id="6056495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proquest.com/georef/indexingvolumeissuelinkhandler/23472/Geological+Society+of+America+Bulletin/01995Y12Y01$23Dec+1995$3b++Vol.+107+$2812$29/107/12?accountid=14756" TargetMode="External"/><Relationship Id="rId3" Type="http://schemas.openxmlformats.org/officeDocument/2006/relationships/webSettings" Target="webSettings.xml"/><Relationship Id="rId7" Type="http://schemas.openxmlformats.org/officeDocument/2006/relationships/hyperlink" Target="https://www.proquest.com/georef/pubidlinkhandler/sng/pubtitle/Geological+Society+of+America+Bulletin/$N?accountid=14756"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dx.doi.org/10.1130/B3556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9</Pages>
  <Words>3640</Words>
  <Characters>19805</Characters>
  <Application>Microsoft Office Word</Application>
  <DocSecurity>0</DocSecurity>
  <Lines>295</Lines>
  <Paragraphs>90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23355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Nelia Dunbar</dc:creator>
  <cp:lastModifiedBy>eXtyles Citation Match Check</cp:lastModifiedBy>
  <cp:revision>14</cp:revision>
  <dcterms:created xsi:type="dcterms:W3CDTF">2022-02-09T23:38:00Z</dcterms:created>
  <dcterms:modified xsi:type="dcterms:W3CDTF">2022-04-25T22:35:00Z</dcterms:modified>
</cp:coreProperties>
</file>